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D69603">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方正小标宋简体"/>
          <w:bCs/>
          <w:sz w:val="44"/>
          <w:szCs w:val="44"/>
        </w:rPr>
      </w:pPr>
    </w:p>
    <w:p w14:paraId="71ADE197">
      <w:pPr>
        <w:keepNext w:val="0"/>
        <w:keepLines w:val="0"/>
        <w:pageBreakBefore w:val="0"/>
        <w:widowControl w:val="0"/>
        <w:kinsoku/>
        <w:wordWrap/>
        <w:overflowPunct/>
        <w:topLinePunct w:val="0"/>
        <w:autoSpaceDE/>
        <w:bidi w:val="0"/>
        <w:adjustRightInd/>
        <w:snapToGrid/>
        <w:spacing w:line="580" w:lineRule="exact"/>
        <w:jc w:val="center"/>
        <w:textAlignment w:val="auto"/>
        <w:rPr>
          <w:rFonts w:hint="eastAsia" w:ascii="方正小标宋_GBK" w:eastAsia="方正小标宋_GBK"/>
          <w:color w:val="auto"/>
          <w:sz w:val="44"/>
          <w:szCs w:val="44"/>
        </w:rPr>
      </w:pPr>
      <w:r>
        <w:rPr>
          <w:rFonts w:hint="eastAsia" w:ascii="方正小标宋_GBK" w:eastAsia="方正小标宋_GBK"/>
          <w:color w:val="auto"/>
          <w:sz w:val="44"/>
          <w:szCs w:val="44"/>
        </w:rPr>
        <w:t>经营主体登记档案管理办法</w:t>
      </w:r>
    </w:p>
    <w:p w14:paraId="72877D86">
      <w:pPr>
        <w:keepNext w:val="0"/>
        <w:keepLines w:val="0"/>
        <w:widowControl/>
        <w:suppressLineNumbers w:val="0"/>
        <w:shd w:val="clear" w:color="auto" w:fill="FFFFFF"/>
        <w:spacing w:line="560" w:lineRule="exact"/>
        <w:jc w:val="center"/>
        <w:rPr>
          <w:rFonts w:hint="default" w:ascii="Times New Roman" w:hAnsi="Times New Roman" w:eastAsia="楷体_GB2312" w:cs="Times New Roman"/>
          <w:sz w:val="32"/>
          <w:szCs w:val="32"/>
        </w:rPr>
      </w:pPr>
      <w:r>
        <w:rPr>
          <w:rFonts w:hint="default" w:ascii="Times New Roman" w:hAnsi="Times New Roman" w:eastAsia="楷体_GB2312" w:cs="Times New Roman"/>
          <w:i w:val="0"/>
          <w:caps w:val="0"/>
          <w:color w:val="333333"/>
          <w:spacing w:val="0"/>
          <w:kern w:val="0"/>
          <w:sz w:val="32"/>
          <w:szCs w:val="32"/>
          <w:shd w:val="clear" w:fill="FFFFFF"/>
          <w:lang w:val="en-US" w:eastAsia="zh-CN" w:bidi="ar"/>
        </w:rPr>
        <w:t>（2025年2月10日国家市场监督管理总局、国家档案局令第96号公布 自2025年3月20日起施行）</w:t>
      </w:r>
    </w:p>
    <w:p w14:paraId="54AD1E44">
      <w:pPr>
        <w:keepNext w:val="0"/>
        <w:keepLines w:val="0"/>
        <w:pageBreakBefore w:val="0"/>
        <w:widowControl w:val="0"/>
        <w:kinsoku/>
        <w:wordWrap/>
        <w:overflowPunct/>
        <w:topLinePunct w:val="0"/>
        <w:autoSpaceDE/>
        <w:bidi w:val="0"/>
        <w:adjustRightInd/>
        <w:snapToGrid/>
        <w:spacing w:line="580" w:lineRule="exact"/>
        <w:textAlignment w:val="auto"/>
        <w:rPr>
          <w:rFonts w:hint="eastAsia"/>
          <w:color w:val="auto"/>
          <w:sz w:val="32"/>
          <w:szCs w:val="32"/>
          <w:lang w:eastAsia="zh-CN"/>
        </w:rPr>
      </w:pPr>
    </w:p>
    <w:p w14:paraId="4CD345B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第一条</w:t>
      </w:r>
      <w:r>
        <w:rPr>
          <w:rFonts w:hint="eastAsia" w:ascii="仿宋_GB2312" w:eastAsia="仿宋_GB2312"/>
          <w:color w:val="auto"/>
          <w:sz w:val="32"/>
          <w:szCs w:val="32"/>
        </w:rPr>
        <w:t xml:space="preserve"> 为</w:t>
      </w:r>
      <w:r>
        <w:rPr>
          <w:rFonts w:hint="eastAsia" w:ascii="仿宋_GB2312" w:hAnsi="仿宋_GB2312" w:eastAsia="仿宋_GB2312" w:cs="仿宋_GB2312"/>
          <w:color w:val="auto"/>
          <w:sz w:val="32"/>
          <w:szCs w:val="32"/>
        </w:rPr>
        <w:t>了</w:t>
      </w:r>
      <w:r>
        <w:rPr>
          <w:rFonts w:hint="eastAsia" w:ascii="仿宋_GB2312" w:eastAsia="仿宋_GB2312"/>
          <w:color w:val="auto"/>
          <w:sz w:val="32"/>
          <w:szCs w:val="32"/>
        </w:rPr>
        <w:t>加强经营主体登记档案的规范化管理，有效保护和利用经营主体登记档案，充分发挥其在促进和服务社会经济发展中的作用，根据《中华人民共和国档案法》《中华人民共和国档案法实施条例》《中华人民共和国市场主体登记管理条例》等法律法规，制定本办法。</w:t>
      </w:r>
    </w:p>
    <w:p w14:paraId="20C818AD">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第二条</w:t>
      </w:r>
      <w:r>
        <w:rPr>
          <w:rFonts w:hint="eastAsia" w:ascii="仿宋_GB2312" w:eastAsia="仿宋_GB2312"/>
          <w:color w:val="auto"/>
          <w:sz w:val="32"/>
          <w:szCs w:val="32"/>
        </w:rPr>
        <w:t xml:space="preserve"> 本办法所称经营主体登记档案（以下简称登记档案），是指承担经营主体登记工作的部门（以下称登记机关）依法在经营主体登记注册过程中直接形成的具有保存价值的文字、图表、声像等不同形</w:t>
      </w:r>
      <w:bookmarkStart w:id="0" w:name="_GoBack"/>
      <w:bookmarkEnd w:id="0"/>
      <w:r>
        <w:rPr>
          <w:rFonts w:hint="eastAsia" w:ascii="仿宋_GB2312" w:eastAsia="仿宋_GB2312"/>
          <w:color w:val="auto"/>
          <w:sz w:val="32"/>
          <w:szCs w:val="32"/>
        </w:rPr>
        <w:t>式的记录。</w:t>
      </w:r>
    </w:p>
    <w:p w14:paraId="42ED007E">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第三条</w:t>
      </w:r>
      <w:r>
        <w:rPr>
          <w:rFonts w:hint="eastAsia" w:ascii="仿宋_GB2312" w:eastAsia="仿宋_GB2312"/>
          <w:color w:val="auto"/>
          <w:sz w:val="32"/>
          <w:szCs w:val="32"/>
        </w:rPr>
        <w:t xml:space="preserve"> 登记档案</w:t>
      </w:r>
      <w:r>
        <w:rPr>
          <w:rFonts w:hint="eastAsia" w:ascii="仿宋_GB2312" w:eastAsia="仿宋_GB2312"/>
          <w:color w:val="auto"/>
          <w:sz w:val="32"/>
          <w:szCs w:val="32"/>
          <w:lang w:eastAsia="zh-CN"/>
        </w:rPr>
        <w:t>管理坚持</w:t>
      </w:r>
      <w:r>
        <w:rPr>
          <w:rFonts w:hint="eastAsia" w:ascii="仿宋_GB2312" w:eastAsia="仿宋_GB2312"/>
          <w:color w:val="auto"/>
          <w:sz w:val="32"/>
          <w:szCs w:val="32"/>
        </w:rPr>
        <w:t>统一标准、分级管理、集中保管原则。</w:t>
      </w:r>
    </w:p>
    <w:p w14:paraId="15B1775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国家市场监督管理总局主管全国登记档案管理工作，制定登记档案管理制度，推进登记档案管理标准化、规范化，指导地方登记机关依法有序开展登记档案管理工作。</w:t>
      </w:r>
    </w:p>
    <w:p w14:paraId="06AA0FBE">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县级以上登记机关负责本级登记档案管理工作，依法履行登记档案管理职责。</w:t>
      </w:r>
    </w:p>
    <w:p w14:paraId="0E6EE163">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各级档案主管部门依法对登记档案工作进行监督、指导和检查。</w:t>
      </w:r>
    </w:p>
    <w:p w14:paraId="75B0FEA7">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第四条</w:t>
      </w:r>
      <w:r>
        <w:rPr>
          <w:rFonts w:hint="eastAsia" w:ascii="仿宋_GB2312" w:eastAsia="仿宋_GB2312"/>
          <w:color w:val="auto"/>
          <w:sz w:val="32"/>
          <w:szCs w:val="32"/>
        </w:rPr>
        <w:t xml:space="preserve"> 登记档案包括依法登记注册的公司、非公司企业法人及其分支机构，个人独资企业、合伙企业及其分支机构，农民专业合作社（联合社）及其分支机构，个体工商户，外国公司分支机构和法律、行政法规规定的其他经营主体的登记档案。</w:t>
      </w:r>
    </w:p>
    <w:p w14:paraId="5B67858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第五条</w:t>
      </w:r>
      <w:r>
        <w:rPr>
          <w:rFonts w:hint="eastAsia" w:ascii="仿宋_GB2312" w:eastAsia="仿宋_GB2312"/>
          <w:color w:val="auto"/>
          <w:sz w:val="32"/>
          <w:szCs w:val="32"/>
        </w:rPr>
        <w:t xml:space="preserve"> 登记档案归档范围包括经营主体在</w:t>
      </w:r>
      <w:r>
        <w:rPr>
          <w:rFonts w:hint="eastAsia" w:ascii="仿宋_GB2312" w:eastAsia="仿宋_GB2312"/>
          <w:color w:val="auto"/>
          <w:sz w:val="32"/>
          <w:szCs w:val="32"/>
          <w:lang w:eastAsia="zh-CN"/>
        </w:rPr>
        <w:t>登记、</w:t>
      </w:r>
      <w:r>
        <w:rPr>
          <w:rFonts w:hint="eastAsia" w:ascii="仿宋_GB2312" w:eastAsia="仿宋_GB2312"/>
          <w:color w:val="auto"/>
          <w:sz w:val="32"/>
          <w:szCs w:val="32"/>
        </w:rPr>
        <w:t>备案等过程中形成的</w:t>
      </w:r>
      <w:r>
        <w:rPr>
          <w:rFonts w:hint="eastAsia" w:ascii="仿宋_GB2312" w:eastAsia="仿宋_GB2312"/>
          <w:color w:val="auto"/>
          <w:sz w:val="32"/>
          <w:szCs w:val="32"/>
          <w:lang w:val="en-US" w:eastAsia="zh-CN"/>
        </w:rPr>
        <w:t>下列</w:t>
      </w:r>
      <w:r>
        <w:rPr>
          <w:rFonts w:hint="eastAsia" w:ascii="仿宋_GB2312" w:eastAsia="仿宋_GB2312"/>
          <w:color w:val="auto"/>
          <w:sz w:val="32"/>
          <w:szCs w:val="32"/>
        </w:rPr>
        <w:t>文件材料：</w:t>
      </w:r>
    </w:p>
    <w:p w14:paraId="7365AB7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（一）经营主体向登记机关提交的申请材料；</w:t>
      </w:r>
    </w:p>
    <w:p w14:paraId="04238C1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（二）登记机关作出登记决定时出具的审核文件；</w:t>
      </w:r>
    </w:p>
    <w:p w14:paraId="17CC36F7">
      <w:pPr>
        <w:pStyle w:val="6"/>
        <w:keepNext w:val="0"/>
        <w:keepLines w:val="0"/>
        <w:pageBreakBefore w:val="0"/>
        <w:widowControl w:val="0"/>
        <w:kinsoku/>
        <w:wordWrap/>
        <w:overflowPunct/>
        <w:topLinePunct w:val="0"/>
        <w:autoSpaceDE/>
        <w:autoSpaceDN/>
        <w:bidi w:val="0"/>
        <w:adjustRightInd/>
        <w:snapToGrid/>
        <w:spacing w:after="0" w:line="580" w:lineRule="exact"/>
        <w:ind w:firstLine="640" w:firstLineChars="200"/>
        <w:textAlignment w:val="auto"/>
        <w:rPr>
          <w:rFonts w:hint="eastAsia"/>
          <w:color w:val="auto"/>
        </w:rPr>
      </w:pPr>
      <w:r>
        <w:rPr>
          <w:rFonts w:hint="eastAsia" w:ascii="仿宋_GB2312" w:eastAsia="仿宋_GB2312"/>
          <w:color w:val="auto"/>
          <w:sz w:val="32"/>
          <w:szCs w:val="32"/>
        </w:rPr>
        <w:t>（三）股权出质</w:t>
      </w:r>
      <w:r>
        <w:rPr>
          <w:rFonts w:hint="eastAsia" w:ascii="仿宋_GB2312" w:eastAsia="仿宋_GB2312"/>
          <w:color w:val="auto"/>
          <w:sz w:val="32"/>
          <w:szCs w:val="32"/>
          <w:lang w:val="en-US" w:eastAsia="zh-CN"/>
        </w:rPr>
        <w:t>登记材料</w:t>
      </w:r>
      <w:r>
        <w:rPr>
          <w:rFonts w:hint="eastAsia" w:ascii="仿宋_GB2312" w:eastAsia="仿宋_GB2312"/>
          <w:color w:val="auto"/>
          <w:sz w:val="32"/>
          <w:szCs w:val="32"/>
        </w:rPr>
        <w:t>、</w:t>
      </w:r>
      <w:r>
        <w:rPr>
          <w:rFonts w:hint="eastAsia" w:ascii="仿宋_GB2312" w:eastAsia="仿宋_GB2312"/>
          <w:color w:val="auto"/>
          <w:sz w:val="32"/>
          <w:szCs w:val="32"/>
          <w:lang w:eastAsia="zh-CN"/>
        </w:rPr>
        <w:t>法院协助执行通知书等其他材料。</w:t>
      </w:r>
    </w:p>
    <w:p w14:paraId="09189B1F">
      <w:pPr>
        <w:pStyle w:val="6"/>
        <w:keepNext w:val="0"/>
        <w:keepLines w:val="0"/>
        <w:pageBreakBefore w:val="0"/>
        <w:widowControl w:val="0"/>
        <w:kinsoku/>
        <w:wordWrap/>
        <w:overflowPunct/>
        <w:topLinePunct w:val="0"/>
        <w:autoSpaceDE/>
        <w:autoSpaceDN/>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具体</w:t>
      </w:r>
      <w:r>
        <w:rPr>
          <w:rFonts w:hint="eastAsia" w:ascii="仿宋_GB2312" w:eastAsia="仿宋_GB2312"/>
          <w:color w:val="auto"/>
          <w:sz w:val="32"/>
          <w:szCs w:val="32"/>
          <w:lang w:eastAsia="zh-CN"/>
        </w:rPr>
        <w:t>文件材料归档范围和档案保管期限表</w:t>
      </w:r>
      <w:r>
        <w:rPr>
          <w:rFonts w:hint="eastAsia" w:ascii="仿宋_GB2312" w:eastAsia="仿宋_GB2312"/>
          <w:color w:val="auto"/>
          <w:sz w:val="32"/>
          <w:szCs w:val="32"/>
        </w:rPr>
        <w:t>由国家市场监督管理总局另行制定。</w:t>
      </w:r>
    </w:p>
    <w:p w14:paraId="16F90CF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第六条</w:t>
      </w: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登记档案的</w:t>
      </w:r>
      <w:r>
        <w:rPr>
          <w:rFonts w:hint="eastAsia" w:ascii="仿宋_GB2312" w:eastAsia="仿宋_GB2312"/>
          <w:color w:val="auto"/>
          <w:sz w:val="32"/>
          <w:szCs w:val="32"/>
        </w:rPr>
        <w:t>整理遵循一户一档、一档多卷的原则，主要包括组卷、排列、编页、编目、编号、装订、装盒等。立卷时应当确保文件材料齐全，图文字迹清晰，格式标准统一，遵循文件的形成规律，保持文件之间的有机联系。</w:t>
      </w:r>
    </w:p>
    <w:p w14:paraId="2E2681F0">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登记档案归档时应当按照《中华人民共和国居民身份证法》《中华人民共和国个人信息保护法》等法律规定，对涉及个人身份信息的页面进行专门标注或者处理，做好个人信息保护。</w:t>
      </w:r>
    </w:p>
    <w:p w14:paraId="4617623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登记机关内分设经营主体登记机构和档案管理机构的，应当做好归档文件材料的移交工作。</w:t>
      </w:r>
    </w:p>
    <w:p w14:paraId="77AC678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highlight w:val="none"/>
        </w:rPr>
      </w:pPr>
      <w:r>
        <w:rPr>
          <w:rFonts w:hint="eastAsia" w:ascii="黑体" w:hAnsi="黑体" w:eastAsia="黑体"/>
          <w:color w:val="auto"/>
          <w:sz w:val="32"/>
          <w:szCs w:val="32"/>
          <w:highlight w:val="none"/>
        </w:rPr>
        <w:t>第七条</w:t>
      </w:r>
      <w:r>
        <w:rPr>
          <w:rFonts w:hint="eastAsia" w:ascii="仿宋_GB2312" w:eastAsia="仿宋_GB2312"/>
          <w:color w:val="auto"/>
          <w:sz w:val="32"/>
          <w:szCs w:val="32"/>
          <w:highlight w:val="none"/>
        </w:rPr>
        <w:t xml:space="preserve"> 登记机关应当加强</w:t>
      </w:r>
      <w:r>
        <w:rPr>
          <w:rFonts w:hint="eastAsia" w:ascii="仿宋_GB2312" w:eastAsia="仿宋_GB2312"/>
          <w:color w:val="auto"/>
          <w:sz w:val="32"/>
          <w:szCs w:val="32"/>
          <w:highlight w:val="none"/>
          <w:lang w:val="en-US" w:eastAsia="zh-CN"/>
        </w:rPr>
        <w:t>登记</w:t>
      </w:r>
      <w:r>
        <w:rPr>
          <w:rFonts w:hint="eastAsia" w:ascii="仿宋_GB2312" w:eastAsia="仿宋_GB2312"/>
          <w:color w:val="auto"/>
          <w:sz w:val="32"/>
          <w:szCs w:val="32"/>
          <w:highlight w:val="none"/>
        </w:rPr>
        <w:t>档案基础设施建设，配置适宜安全保存</w:t>
      </w:r>
      <w:r>
        <w:rPr>
          <w:rFonts w:hint="eastAsia" w:ascii="仿宋_GB2312" w:eastAsia="仿宋_GB2312"/>
          <w:color w:val="auto"/>
          <w:sz w:val="32"/>
          <w:szCs w:val="32"/>
          <w:highlight w:val="none"/>
          <w:lang w:val="en-US" w:eastAsia="zh-CN"/>
        </w:rPr>
        <w:t>登记</w:t>
      </w:r>
      <w:r>
        <w:rPr>
          <w:rFonts w:hint="eastAsia" w:ascii="仿宋_GB2312" w:eastAsia="仿宋_GB2312"/>
          <w:color w:val="auto"/>
          <w:sz w:val="32"/>
          <w:szCs w:val="32"/>
          <w:highlight w:val="none"/>
        </w:rPr>
        <w:t>档案的库房，配备防盗、防火、防水等必要设施和</w:t>
      </w:r>
      <w:r>
        <w:rPr>
          <w:rFonts w:hint="eastAsia" w:ascii="仿宋_GB2312" w:eastAsia="仿宋_GB2312"/>
          <w:color w:val="auto"/>
          <w:sz w:val="32"/>
          <w:szCs w:val="32"/>
          <w:highlight w:val="none"/>
          <w:lang w:val="en-US" w:eastAsia="zh-CN"/>
        </w:rPr>
        <w:t>登记</w:t>
      </w:r>
      <w:r>
        <w:rPr>
          <w:rFonts w:hint="eastAsia" w:ascii="仿宋_GB2312" w:eastAsia="仿宋_GB2312"/>
          <w:color w:val="auto"/>
          <w:sz w:val="32"/>
          <w:szCs w:val="32"/>
          <w:highlight w:val="none"/>
        </w:rPr>
        <w:t>档案</w:t>
      </w:r>
      <w:r>
        <w:rPr>
          <w:rFonts w:hint="eastAsia" w:ascii="仿宋_GB2312" w:eastAsia="仿宋_GB2312"/>
          <w:color w:val="auto"/>
          <w:sz w:val="32"/>
          <w:szCs w:val="32"/>
          <w:highlight w:val="none"/>
          <w:lang w:eastAsia="zh-CN"/>
        </w:rPr>
        <w:t>管理</w:t>
      </w:r>
      <w:r>
        <w:rPr>
          <w:rFonts w:hint="eastAsia" w:ascii="仿宋_GB2312" w:eastAsia="仿宋_GB2312"/>
          <w:color w:val="auto"/>
          <w:sz w:val="32"/>
          <w:szCs w:val="32"/>
          <w:highlight w:val="none"/>
        </w:rPr>
        <w:t>所需的工作设备。</w:t>
      </w:r>
    </w:p>
    <w:p w14:paraId="6671236A">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登记机关应当完善</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档案管理制度，建立健全</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档案安全工作机制，配备</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档案管理工作人员，提高</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档案安全应急处置能力。</w:t>
      </w:r>
    </w:p>
    <w:p w14:paraId="3A372B50">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第八条</w:t>
      </w:r>
      <w:r>
        <w:rPr>
          <w:rFonts w:hint="eastAsia" w:ascii="仿宋_GB2312" w:eastAsia="仿宋_GB2312"/>
          <w:color w:val="auto"/>
          <w:sz w:val="32"/>
          <w:szCs w:val="32"/>
        </w:rPr>
        <w:t xml:space="preserve"> 登记机关委托</w:t>
      </w:r>
      <w:r>
        <w:rPr>
          <w:rFonts w:hint="eastAsia" w:ascii="仿宋_GB2312" w:eastAsia="仿宋_GB2312"/>
          <w:color w:val="auto"/>
          <w:sz w:val="32"/>
          <w:szCs w:val="32"/>
          <w:lang w:eastAsia="zh-CN"/>
        </w:rPr>
        <w:t>第三方开展</w:t>
      </w:r>
      <w:r>
        <w:rPr>
          <w:rFonts w:hint="eastAsia" w:ascii="仿宋_GB2312" w:eastAsia="仿宋_GB2312"/>
          <w:color w:val="auto"/>
          <w:sz w:val="32"/>
          <w:szCs w:val="32"/>
        </w:rPr>
        <w:t>登</w:t>
      </w:r>
      <w:r>
        <w:rPr>
          <w:rFonts w:hint="eastAsia" w:ascii="仿宋_GB2312" w:hAnsi="Calibri" w:eastAsia="仿宋_GB2312" w:cs="Times New Roman"/>
          <w:color w:val="auto"/>
          <w:kern w:val="2"/>
          <w:sz w:val="32"/>
          <w:szCs w:val="32"/>
          <w:lang w:val="en-US" w:eastAsia="zh-CN" w:bidi="ar-SA"/>
        </w:rPr>
        <w:t>记档案整理、寄存和数字化等</w:t>
      </w:r>
      <w:r>
        <w:rPr>
          <w:rFonts w:hint="eastAsia" w:ascii="仿宋_GB2312" w:eastAsia="仿宋_GB2312" w:cs="Times New Roman"/>
          <w:color w:val="auto"/>
          <w:kern w:val="2"/>
          <w:sz w:val="32"/>
          <w:szCs w:val="32"/>
          <w:lang w:val="en-US" w:eastAsia="zh-CN" w:bidi="ar-SA"/>
        </w:rPr>
        <w:t>工作</w:t>
      </w:r>
      <w:r>
        <w:rPr>
          <w:rFonts w:hint="eastAsia" w:ascii="仿宋_GB2312" w:hAnsi="Calibri" w:eastAsia="仿宋_GB2312" w:cs="Times New Roman"/>
          <w:color w:val="auto"/>
          <w:kern w:val="2"/>
          <w:sz w:val="32"/>
          <w:szCs w:val="32"/>
          <w:lang w:val="en-US" w:eastAsia="zh-CN" w:bidi="ar-SA"/>
        </w:rPr>
        <w:t>的，应当严格审核服务提供方业务</w:t>
      </w:r>
      <w:r>
        <w:rPr>
          <w:rFonts w:hint="eastAsia" w:ascii="仿宋_GB2312" w:eastAsia="仿宋_GB2312" w:cs="Times New Roman"/>
          <w:color w:val="auto"/>
          <w:kern w:val="2"/>
          <w:sz w:val="32"/>
          <w:szCs w:val="32"/>
          <w:lang w:val="en-US" w:eastAsia="zh-CN" w:bidi="ar-SA"/>
        </w:rPr>
        <w:t>能力</w:t>
      </w:r>
      <w:r>
        <w:rPr>
          <w:rFonts w:hint="eastAsia" w:ascii="仿宋_GB2312" w:hAnsi="Calibri" w:eastAsia="仿宋_GB2312" w:cs="Times New Roman"/>
          <w:color w:val="auto"/>
          <w:kern w:val="2"/>
          <w:sz w:val="32"/>
          <w:szCs w:val="32"/>
          <w:lang w:val="en-US" w:eastAsia="zh-CN" w:bidi="ar-SA"/>
        </w:rPr>
        <w:t>，</w:t>
      </w:r>
      <w:r>
        <w:rPr>
          <w:rFonts w:hint="eastAsia" w:ascii="仿宋_GB2312" w:eastAsia="仿宋_GB2312" w:cs="Times New Roman"/>
          <w:color w:val="auto"/>
          <w:kern w:val="2"/>
          <w:sz w:val="32"/>
          <w:szCs w:val="32"/>
          <w:lang w:val="en-US" w:eastAsia="zh-CN" w:bidi="ar-SA"/>
        </w:rPr>
        <w:t>严格控制登记</w:t>
      </w:r>
      <w:r>
        <w:rPr>
          <w:rFonts w:hint="eastAsia" w:ascii="仿宋_GB2312" w:hAnsi="Calibri" w:eastAsia="仿宋_GB2312" w:cs="Times New Roman"/>
          <w:color w:val="auto"/>
          <w:kern w:val="2"/>
          <w:sz w:val="32"/>
          <w:szCs w:val="32"/>
          <w:lang w:val="en-US" w:eastAsia="zh-CN" w:bidi="ar-SA"/>
        </w:rPr>
        <w:t>档案服务外包范围，严格执行服务外包标准规范，</w:t>
      </w:r>
      <w:r>
        <w:rPr>
          <w:rFonts w:hint="eastAsia" w:ascii="仿宋_GB2312" w:eastAsia="仿宋_GB2312" w:cs="Times New Roman"/>
          <w:color w:val="auto"/>
          <w:kern w:val="2"/>
          <w:sz w:val="32"/>
          <w:szCs w:val="32"/>
          <w:lang w:val="en-US" w:eastAsia="zh-CN" w:bidi="ar-SA"/>
        </w:rPr>
        <w:t>加强</w:t>
      </w:r>
      <w:r>
        <w:rPr>
          <w:rFonts w:hint="eastAsia" w:ascii="仿宋_GB2312" w:eastAsia="仿宋_GB2312"/>
          <w:color w:val="auto"/>
          <w:sz w:val="32"/>
          <w:szCs w:val="32"/>
        </w:rPr>
        <w:t>登记档案服务外包安全管理。</w:t>
      </w:r>
    </w:p>
    <w:p w14:paraId="0325755D">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color w:val="auto"/>
          <w:sz w:val="32"/>
          <w:szCs w:val="32"/>
        </w:rPr>
      </w:pPr>
      <w:r>
        <w:rPr>
          <w:rFonts w:hint="eastAsia" w:ascii="黑体" w:hAnsi="黑体" w:eastAsia="黑体"/>
          <w:color w:val="auto"/>
          <w:sz w:val="32"/>
          <w:szCs w:val="32"/>
        </w:rPr>
        <w:t xml:space="preserve">第九条 </w:t>
      </w:r>
      <w:r>
        <w:rPr>
          <w:rFonts w:hint="eastAsia" w:ascii="仿宋_GB2312" w:eastAsia="仿宋_GB2312"/>
          <w:color w:val="auto"/>
          <w:sz w:val="32"/>
          <w:szCs w:val="32"/>
        </w:rPr>
        <w:t>经营主体存续期间，登记档案应当持续保存。经营主体注销后，登记档案保管期限一般为</w:t>
      </w:r>
      <w:r>
        <w:rPr>
          <w:rFonts w:hint="default" w:ascii="Times New Roman" w:hAnsi="Times New Roman" w:eastAsia="仿宋_GB2312" w:cs="Times New Roman"/>
          <w:color w:val="auto"/>
          <w:sz w:val="32"/>
          <w:szCs w:val="32"/>
        </w:rPr>
        <w:t>20</w:t>
      </w:r>
      <w:r>
        <w:rPr>
          <w:rFonts w:hint="eastAsia" w:ascii="仿宋_GB2312" w:eastAsia="仿宋_GB2312"/>
          <w:color w:val="auto"/>
          <w:sz w:val="32"/>
          <w:szCs w:val="32"/>
        </w:rPr>
        <w:t>年，自其注销之日起计算。经营主体因被合并而注销的，其登记档案并入合并后</w:t>
      </w:r>
      <w:r>
        <w:rPr>
          <w:rFonts w:hint="eastAsia" w:ascii="仿宋_GB2312" w:eastAsia="仿宋_GB2312"/>
          <w:color w:val="auto"/>
          <w:sz w:val="32"/>
          <w:szCs w:val="32"/>
          <w:lang w:eastAsia="zh-CN"/>
        </w:rPr>
        <w:t>的</w:t>
      </w:r>
      <w:r>
        <w:rPr>
          <w:rFonts w:hint="eastAsia" w:ascii="仿宋_GB2312" w:eastAsia="仿宋_GB2312"/>
          <w:color w:val="auto"/>
          <w:sz w:val="32"/>
          <w:szCs w:val="32"/>
        </w:rPr>
        <w:t>经营主体的登记档案</w:t>
      </w:r>
      <w:r>
        <w:rPr>
          <w:rFonts w:hint="eastAsia" w:ascii="仿宋_GB2312" w:eastAsia="仿宋_GB2312"/>
          <w:color w:val="auto"/>
          <w:sz w:val="32"/>
          <w:szCs w:val="32"/>
          <w:lang w:eastAsia="zh-CN"/>
        </w:rPr>
        <w:t>。</w:t>
      </w:r>
    </w:p>
    <w:p w14:paraId="30BA1C7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第十条</w:t>
      </w:r>
      <w:r>
        <w:rPr>
          <w:rFonts w:hint="eastAsia" w:ascii="仿宋_GB2312" w:eastAsia="仿宋_GB2312"/>
          <w:color w:val="auto"/>
          <w:sz w:val="32"/>
          <w:szCs w:val="32"/>
        </w:rPr>
        <w:t xml:space="preserve"> 登记机关应当定期对保管期限届满的登记档案进行鉴定，经鉴定需要销毁的登记档案，应当按照国家有关规定销毁</w:t>
      </w:r>
      <w:r>
        <w:rPr>
          <w:rFonts w:hint="eastAsia" w:ascii="仿宋_GB2312" w:eastAsia="仿宋_GB2312"/>
          <w:color w:val="auto"/>
          <w:sz w:val="32"/>
          <w:szCs w:val="32"/>
          <w:lang w:eastAsia="zh-CN"/>
        </w:rPr>
        <w:t>。</w:t>
      </w:r>
      <w:r>
        <w:rPr>
          <w:rFonts w:hint="eastAsia" w:ascii="仿宋_GB2312" w:eastAsia="仿宋_GB2312"/>
          <w:color w:val="auto"/>
          <w:sz w:val="32"/>
          <w:szCs w:val="32"/>
        </w:rPr>
        <w:t>经鉴定仍有保存价值的登记档案，登记机关应当重新划定保管期限并作出标注</w:t>
      </w:r>
      <w:r>
        <w:rPr>
          <w:rFonts w:hint="eastAsia" w:ascii="仿宋_GB2312" w:eastAsia="仿宋_GB2312"/>
          <w:color w:val="auto"/>
          <w:sz w:val="32"/>
          <w:szCs w:val="32"/>
          <w:lang w:eastAsia="zh-CN"/>
        </w:rPr>
        <w:t>，</w:t>
      </w:r>
      <w:r>
        <w:rPr>
          <w:rFonts w:hint="eastAsia" w:ascii="仿宋_GB2312" w:eastAsia="仿宋_GB2312"/>
          <w:color w:val="auto"/>
          <w:sz w:val="32"/>
          <w:szCs w:val="32"/>
        </w:rPr>
        <w:t>其中具有永久保存价值的，经与同级国家综合档案馆协商同意后可</w:t>
      </w:r>
      <w:r>
        <w:rPr>
          <w:rFonts w:hint="eastAsia" w:ascii="仿宋_GB2312" w:eastAsia="仿宋_GB2312"/>
          <w:color w:val="auto"/>
          <w:sz w:val="32"/>
          <w:szCs w:val="32"/>
          <w:lang w:eastAsia="zh-CN"/>
        </w:rPr>
        <w:t>以</w:t>
      </w:r>
      <w:r>
        <w:rPr>
          <w:rFonts w:hint="eastAsia" w:ascii="仿宋_GB2312" w:eastAsia="仿宋_GB2312"/>
          <w:color w:val="auto"/>
          <w:sz w:val="32"/>
          <w:szCs w:val="32"/>
        </w:rPr>
        <w:t>向其移交。</w:t>
      </w:r>
    </w:p>
    <w:p w14:paraId="001A3E8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 xml:space="preserve">第十一条 </w:t>
      </w:r>
      <w:r>
        <w:rPr>
          <w:rFonts w:hint="eastAsia" w:ascii="仿宋_GB2312" w:eastAsia="仿宋_GB2312"/>
          <w:color w:val="auto"/>
          <w:sz w:val="32"/>
          <w:szCs w:val="32"/>
        </w:rPr>
        <w:t>登记机关通过计算机等电子设备形成、办理、传输、存储的登记或者备案材料，符合国家电子档案管理要求的，可以以电子形式归档和移交，不再以纸质形式归档和移交</w:t>
      </w:r>
      <w:r>
        <w:rPr>
          <w:rFonts w:hint="eastAsia" w:ascii="仿宋_GB2312" w:eastAsia="仿宋_GB2312"/>
          <w:color w:val="auto"/>
          <w:sz w:val="32"/>
          <w:szCs w:val="32"/>
          <w:lang w:eastAsia="zh-CN"/>
        </w:rPr>
        <w:t>。</w:t>
      </w:r>
      <w:r>
        <w:rPr>
          <w:rFonts w:hint="eastAsia" w:ascii="仿宋_GB2312" w:eastAsia="仿宋_GB2312"/>
          <w:color w:val="auto"/>
          <w:sz w:val="32"/>
          <w:szCs w:val="32"/>
        </w:rPr>
        <w:t>法律、行政法规另有规定的除外。</w:t>
      </w:r>
    </w:p>
    <w:p w14:paraId="0FDA4BDE">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电子登记档案和</w:t>
      </w:r>
      <w:r>
        <w:rPr>
          <w:rFonts w:hint="eastAsia" w:ascii="仿宋_GB2312" w:eastAsia="仿宋_GB2312"/>
          <w:color w:val="auto"/>
          <w:sz w:val="32"/>
          <w:szCs w:val="32"/>
          <w:lang w:eastAsia="zh-CN"/>
        </w:rPr>
        <w:t>传统载体</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档案具有同等法律效力，可以以电子形式作为凭证使用。</w:t>
      </w:r>
    </w:p>
    <w:p w14:paraId="5B9E8E95">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 xml:space="preserve">第十二条 </w:t>
      </w:r>
      <w:r>
        <w:rPr>
          <w:rFonts w:hint="eastAsia" w:ascii="仿宋_GB2312" w:eastAsia="仿宋_GB2312"/>
          <w:color w:val="auto"/>
          <w:sz w:val="32"/>
          <w:szCs w:val="32"/>
        </w:rPr>
        <w:t>电子登记文件归档一般采用在线实时归档方式，不具备在线归档条件的，可以采用离线归档方式。离线归档应当在登记事项办理完毕后的六十日内完成。</w:t>
      </w:r>
    </w:p>
    <w:p w14:paraId="6D4279FD">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电子登记</w:t>
      </w:r>
      <w:r>
        <w:rPr>
          <w:rFonts w:hint="eastAsia" w:ascii="仿宋_GB2312" w:eastAsia="仿宋_GB2312"/>
          <w:color w:val="auto"/>
          <w:sz w:val="32"/>
          <w:szCs w:val="32"/>
          <w:lang w:val="en-US" w:eastAsia="zh-CN"/>
        </w:rPr>
        <w:t>文件</w:t>
      </w:r>
      <w:r>
        <w:rPr>
          <w:rFonts w:hint="eastAsia" w:ascii="仿宋_GB2312" w:eastAsia="仿宋_GB2312"/>
          <w:color w:val="auto"/>
          <w:sz w:val="32"/>
          <w:szCs w:val="32"/>
        </w:rPr>
        <w:t>归档格式应当符合国家标准规范，并且通用、开放、不绑定软硬件。</w:t>
      </w:r>
    </w:p>
    <w:p w14:paraId="6EB82C68">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 xml:space="preserve">第十三条 </w:t>
      </w:r>
      <w:r>
        <w:rPr>
          <w:rFonts w:hint="eastAsia" w:ascii="仿宋_GB2312" w:eastAsia="仿宋_GB2312"/>
          <w:color w:val="auto"/>
          <w:sz w:val="32"/>
          <w:szCs w:val="32"/>
        </w:rPr>
        <w:t>国家市场监督管理总局应当推进</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档案信息资源共享一体化服务平台建设，推动</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 xml:space="preserve">档案信息资源跨区域、跨部门共享利用。 </w:t>
      </w:r>
    </w:p>
    <w:p w14:paraId="18292FF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w:t>
      </w:r>
      <w:r>
        <w:rPr>
          <w:rFonts w:hint="eastAsia" w:ascii="仿宋_GB2312" w:hAnsi="Calibri" w:eastAsia="仿宋_GB2312" w:cs="Times New Roman"/>
          <w:color w:val="auto"/>
          <w:sz w:val="32"/>
          <w:szCs w:val="32"/>
        </w:rPr>
        <w:t>级</w:t>
      </w:r>
      <w:r>
        <w:rPr>
          <w:rFonts w:hint="eastAsia" w:ascii="仿宋_GB2312" w:eastAsia="仿宋_GB2312"/>
          <w:color w:val="auto"/>
          <w:sz w:val="32"/>
          <w:szCs w:val="32"/>
        </w:rPr>
        <w:t>登记机关应当加强登记档案管理信息化建设，以统一社会信用代码为索引，推动登记档案电子化、影像化，保障电子</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档案、纸质</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档案数字化</w:t>
      </w:r>
      <w:r>
        <w:rPr>
          <w:rFonts w:hint="eastAsia" w:ascii="仿宋_GB2312" w:eastAsia="仿宋_GB2312"/>
          <w:color w:val="auto"/>
          <w:sz w:val="32"/>
          <w:szCs w:val="32"/>
          <w:lang w:val="en-US" w:eastAsia="zh-CN"/>
        </w:rPr>
        <w:t>副本</w:t>
      </w:r>
      <w:r>
        <w:rPr>
          <w:rFonts w:hint="eastAsia" w:ascii="仿宋_GB2312" w:eastAsia="仿宋_GB2312"/>
          <w:color w:val="auto"/>
          <w:sz w:val="32"/>
          <w:szCs w:val="32"/>
        </w:rPr>
        <w:t>的安全保存和有效利用。</w:t>
      </w:r>
    </w:p>
    <w:p w14:paraId="05969572">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color w:val="auto"/>
          <w:sz w:val="32"/>
          <w:szCs w:val="32"/>
          <w:lang w:val="en-US" w:eastAsia="zh-CN"/>
        </w:rPr>
      </w:pPr>
      <w:r>
        <w:rPr>
          <w:rFonts w:hint="eastAsia" w:ascii="仿宋_GB2312" w:eastAsia="仿宋_GB2312"/>
          <w:color w:val="auto"/>
          <w:sz w:val="32"/>
          <w:szCs w:val="32"/>
        </w:rPr>
        <w:t>各级登记机关应当做</w:t>
      </w:r>
      <w:r>
        <w:rPr>
          <w:rFonts w:hint="eastAsia" w:ascii="仿宋_GB2312" w:hAnsi="Calibri" w:eastAsia="仿宋_GB2312" w:cs="Times New Roman"/>
          <w:color w:val="auto"/>
          <w:kern w:val="2"/>
          <w:sz w:val="32"/>
          <w:szCs w:val="32"/>
          <w:lang w:val="en-US" w:eastAsia="zh-CN" w:bidi="ar-SA"/>
        </w:rPr>
        <w:t>好本级电子登记档案管理工作，确保电子</w:t>
      </w:r>
      <w:r>
        <w:rPr>
          <w:rFonts w:hint="eastAsia" w:ascii="仿宋_GB2312" w:eastAsia="仿宋_GB2312" w:cs="Times New Roman"/>
          <w:color w:val="auto"/>
          <w:kern w:val="2"/>
          <w:sz w:val="32"/>
          <w:szCs w:val="32"/>
          <w:lang w:val="en-US" w:eastAsia="zh-CN" w:bidi="ar-SA"/>
        </w:rPr>
        <w:t>登记</w:t>
      </w:r>
      <w:r>
        <w:rPr>
          <w:rFonts w:hint="eastAsia" w:ascii="仿宋_GB2312" w:hAnsi="Calibri" w:eastAsia="仿宋_GB2312" w:cs="Times New Roman"/>
          <w:color w:val="auto"/>
          <w:kern w:val="2"/>
          <w:sz w:val="32"/>
          <w:szCs w:val="32"/>
          <w:lang w:val="en-US" w:eastAsia="zh-CN" w:bidi="ar-SA"/>
        </w:rPr>
        <w:t>档案的真实性、完整性、可用性、安全性，并做好数据备份。</w:t>
      </w:r>
    </w:p>
    <w:p w14:paraId="1400370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第十四条</w:t>
      </w:r>
      <w:r>
        <w:rPr>
          <w:rFonts w:hint="eastAsia" w:ascii="仿宋_GB2312" w:eastAsia="仿宋_GB2312"/>
          <w:color w:val="auto"/>
          <w:sz w:val="32"/>
          <w:szCs w:val="32"/>
        </w:rPr>
        <w:t xml:space="preserve"> 经营主体因变更住所（主要经营场所、经营场所）</w:t>
      </w:r>
      <w:r>
        <w:rPr>
          <w:rFonts w:hint="eastAsia" w:ascii="仿宋_GB2312" w:eastAsia="仿宋_GB2312"/>
          <w:color w:val="auto"/>
          <w:sz w:val="32"/>
          <w:szCs w:val="32"/>
          <w:lang w:eastAsia="zh-CN"/>
        </w:rPr>
        <w:t>、主体类型</w:t>
      </w:r>
      <w:r>
        <w:rPr>
          <w:rFonts w:hint="eastAsia" w:ascii="仿宋_GB2312" w:eastAsia="仿宋_GB2312"/>
          <w:color w:val="auto"/>
          <w:sz w:val="32"/>
          <w:szCs w:val="32"/>
        </w:rPr>
        <w:t>等原因需要迁移登记档案的，应当在迁入新住所（主要经营场所、经营场所）前，向迁入地登记机关申请办理变更登记</w:t>
      </w:r>
      <w:r>
        <w:rPr>
          <w:rFonts w:hint="eastAsia" w:ascii="仿宋_GB2312" w:eastAsia="仿宋_GB2312"/>
          <w:color w:val="auto"/>
          <w:sz w:val="32"/>
          <w:szCs w:val="32"/>
          <w:lang w:eastAsia="zh-CN"/>
        </w:rPr>
        <w:t>、</w:t>
      </w:r>
      <w:r>
        <w:rPr>
          <w:rFonts w:hint="eastAsia" w:ascii="仿宋_GB2312" w:eastAsia="仿宋_GB2312"/>
          <w:color w:val="auto"/>
          <w:sz w:val="32"/>
          <w:szCs w:val="32"/>
        </w:rPr>
        <w:t>迁入登记档案。</w:t>
      </w:r>
    </w:p>
    <w:p w14:paraId="2844A48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迁入地登记机关</w:t>
      </w:r>
      <w:r>
        <w:rPr>
          <w:rFonts w:hint="eastAsia" w:ascii="仿宋_GB2312" w:eastAsia="仿宋_GB2312"/>
          <w:color w:val="auto"/>
          <w:sz w:val="32"/>
          <w:szCs w:val="32"/>
          <w:lang w:eastAsia="zh-CN"/>
        </w:rPr>
        <w:t>认为可以迁入</w:t>
      </w:r>
      <w:r>
        <w:rPr>
          <w:rFonts w:hint="eastAsia" w:ascii="仿宋_GB2312" w:eastAsia="仿宋_GB2312"/>
          <w:color w:val="auto"/>
          <w:sz w:val="32"/>
          <w:szCs w:val="32"/>
        </w:rPr>
        <w:t>的，应当向迁出地登记机关开具</w:t>
      </w:r>
      <w:r>
        <w:rPr>
          <w:rFonts w:hint="eastAsia" w:ascii="仿宋_GB2312" w:eastAsia="仿宋_GB2312"/>
          <w:color w:val="auto"/>
          <w:sz w:val="32"/>
          <w:szCs w:val="32"/>
          <w:lang w:eastAsia="zh-CN"/>
        </w:rPr>
        <w:t>迁入调档函</w:t>
      </w:r>
      <w:r>
        <w:rPr>
          <w:rFonts w:hint="eastAsia" w:ascii="仿宋_GB2312" w:eastAsia="仿宋_GB2312"/>
          <w:color w:val="auto"/>
          <w:sz w:val="32"/>
          <w:szCs w:val="32"/>
        </w:rPr>
        <w:t>，申请人无需向迁出地登记机关提出</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档案迁出申请。</w:t>
      </w:r>
    </w:p>
    <w:p w14:paraId="62250752">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迁出地登记机关应当自收到</w:t>
      </w:r>
      <w:r>
        <w:rPr>
          <w:rFonts w:hint="eastAsia" w:ascii="仿宋_GB2312" w:hAnsi="Calibri" w:eastAsia="仿宋_GB2312" w:cs="Times New Roman"/>
          <w:color w:val="auto"/>
          <w:kern w:val="2"/>
          <w:sz w:val="32"/>
          <w:szCs w:val="32"/>
          <w:lang w:val="en-US" w:eastAsia="zh-CN" w:bidi="ar-SA"/>
        </w:rPr>
        <w:t>迁入调档函</w:t>
      </w:r>
      <w:r>
        <w:rPr>
          <w:rFonts w:hint="eastAsia" w:ascii="仿宋_GB2312" w:eastAsia="仿宋_GB2312"/>
          <w:color w:val="auto"/>
          <w:sz w:val="32"/>
          <w:szCs w:val="32"/>
        </w:rPr>
        <w:t>之日起三十日内将所有登记档案移交迁入地登记机关。迁入地、迁出地登记机关不得限制</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妨碍</w:t>
      </w:r>
      <w:r>
        <w:rPr>
          <w:rFonts w:hint="eastAsia" w:ascii="仿宋_GB2312" w:eastAsia="仿宋_GB2312"/>
          <w:color w:val="auto"/>
          <w:sz w:val="32"/>
          <w:szCs w:val="32"/>
        </w:rPr>
        <w:t>登记档案的迁移，法律、行政法规规定</w:t>
      </w:r>
      <w:r>
        <w:rPr>
          <w:rFonts w:hint="eastAsia" w:ascii="仿宋_GB2312" w:eastAsia="仿宋_GB2312"/>
          <w:color w:val="auto"/>
          <w:sz w:val="32"/>
          <w:szCs w:val="32"/>
          <w:lang w:val="en-US" w:eastAsia="zh-CN"/>
        </w:rPr>
        <w:t>不得迁移</w:t>
      </w:r>
      <w:r>
        <w:rPr>
          <w:rFonts w:hint="eastAsia" w:ascii="仿宋_GB2312" w:eastAsia="仿宋_GB2312"/>
          <w:color w:val="auto"/>
          <w:sz w:val="32"/>
          <w:szCs w:val="32"/>
        </w:rPr>
        <w:t>的</w:t>
      </w:r>
      <w:r>
        <w:rPr>
          <w:rFonts w:hint="eastAsia" w:ascii="仿宋_GB2312" w:eastAsia="仿宋_GB2312"/>
          <w:color w:val="auto"/>
          <w:sz w:val="32"/>
          <w:szCs w:val="32"/>
          <w:lang w:eastAsia="zh-CN"/>
        </w:rPr>
        <w:t>情形</w:t>
      </w:r>
      <w:r>
        <w:rPr>
          <w:rFonts w:hint="eastAsia" w:ascii="仿宋_GB2312" w:eastAsia="仿宋_GB2312"/>
          <w:color w:val="auto"/>
          <w:sz w:val="32"/>
          <w:szCs w:val="32"/>
        </w:rPr>
        <w:t>除外。</w:t>
      </w:r>
    </w:p>
    <w:p w14:paraId="771E678D">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第十</w:t>
      </w:r>
      <w:r>
        <w:rPr>
          <w:rFonts w:hint="eastAsia" w:ascii="黑体" w:hAnsi="黑体" w:eastAsia="黑体"/>
          <w:color w:val="auto"/>
          <w:sz w:val="32"/>
          <w:szCs w:val="32"/>
          <w:lang w:eastAsia="zh-CN"/>
        </w:rPr>
        <w:t>五</w:t>
      </w:r>
      <w:r>
        <w:rPr>
          <w:rFonts w:hint="eastAsia" w:ascii="黑体" w:hAnsi="黑体" w:eastAsia="黑体"/>
          <w:color w:val="auto"/>
          <w:sz w:val="32"/>
          <w:szCs w:val="32"/>
        </w:rPr>
        <w:t>条</w:t>
      </w:r>
      <w:r>
        <w:rPr>
          <w:rFonts w:hint="eastAsia" w:ascii="仿宋_GB2312" w:eastAsia="仿宋_GB2312"/>
          <w:color w:val="auto"/>
          <w:sz w:val="32"/>
          <w:szCs w:val="32"/>
        </w:rPr>
        <w:t xml:space="preserve"> 迁入地登记机关和迁出地登记机关应当就登记档案迁移做好对接</w:t>
      </w:r>
      <w:r>
        <w:rPr>
          <w:rFonts w:hint="eastAsia" w:ascii="仿宋_GB2312" w:eastAsia="仿宋_GB2312"/>
          <w:color w:val="auto"/>
          <w:sz w:val="32"/>
          <w:szCs w:val="32"/>
          <w:lang w:eastAsia="zh-CN"/>
        </w:rPr>
        <w:t>。</w:t>
      </w:r>
      <w:r>
        <w:rPr>
          <w:rFonts w:hint="eastAsia" w:ascii="仿宋_GB2312" w:eastAsia="仿宋_GB2312"/>
          <w:color w:val="auto"/>
          <w:sz w:val="32"/>
          <w:szCs w:val="32"/>
        </w:rPr>
        <w:t>迁出地登记机关移交</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档案时应当编制</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档案移交清单，列明移交</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档案的名称、卷号、时间、页码、形式等内容</w:t>
      </w:r>
      <w:r>
        <w:rPr>
          <w:rFonts w:hint="eastAsia" w:ascii="仿宋_GB2312" w:eastAsia="仿宋_GB2312"/>
          <w:color w:val="auto"/>
          <w:sz w:val="32"/>
          <w:szCs w:val="32"/>
          <w:lang w:eastAsia="zh-CN"/>
        </w:rPr>
        <w:t>，加盖迁出地登记机关公章或者档案管理专用印章。</w:t>
      </w:r>
      <w:r>
        <w:rPr>
          <w:rFonts w:hint="eastAsia" w:ascii="仿宋_GB2312" w:eastAsia="仿宋_GB2312"/>
          <w:color w:val="auto"/>
          <w:sz w:val="32"/>
          <w:szCs w:val="32"/>
        </w:rPr>
        <w:t>迁入地登记机关接收登记档案后，</w:t>
      </w:r>
      <w:r>
        <w:rPr>
          <w:rFonts w:hint="eastAsia" w:ascii="仿宋_GB2312" w:eastAsia="仿宋_GB2312"/>
          <w:color w:val="auto"/>
          <w:sz w:val="32"/>
          <w:szCs w:val="32"/>
          <w:lang w:eastAsia="zh-CN"/>
        </w:rPr>
        <w:t>应当根据移交清单清点核对</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lang w:eastAsia="zh-CN"/>
        </w:rPr>
        <w:t>档案，在移交清单上加盖迁入地登记机关公章或者档案管理专用印章后，</w:t>
      </w:r>
      <w:r>
        <w:rPr>
          <w:rFonts w:hint="eastAsia" w:ascii="仿宋_GB2312" w:eastAsia="仿宋_GB2312"/>
          <w:color w:val="auto"/>
          <w:sz w:val="32"/>
          <w:szCs w:val="32"/>
        </w:rPr>
        <w:t>送交迁出地登记机关。</w:t>
      </w:r>
    </w:p>
    <w:p w14:paraId="055A628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lang w:eastAsia="zh-CN"/>
        </w:rPr>
      </w:pPr>
      <w:r>
        <w:rPr>
          <w:rFonts w:hint="eastAsia" w:ascii="黑体" w:hAnsi="黑体" w:eastAsia="黑体"/>
          <w:color w:val="auto"/>
          <w:sz w:val="32"/>
          <w:szCs w:val="32"/>
          <w:lang w:eastAsia="zh-CN"/>
        </w:rPr>
        <w:t>第十六条</w:t>
      </w:r>
      <w:r>
        <w:rPr>
          <w:rFonts w:hint="eastAsia" w:ascii="黑体" w:hAnsi="黑体" w:eastAsia="黑体"/>
          <w:color w:val="auto"/>
          <w:sz w:val="32"/>
          <w:szCs w:val="32"/>
          <w:lang w:val="en-US" w:eastAsia="zh-CN"/>
        </w:rPr>
        <w:t xml:space="preserve"> </w:t>
      </w:r>
      <w:r>
        <w:rPr>
          <w:rFonts w:hint="eastAsia" w:ascii="仿宋_GB2312" w:eastAsia="仿宋_GB2312"/>
          <w:color w:val="auto"/>
          <w:sz w:val="32"/>
          <w:szCs w:val="32"/>
        </w:rPr>
        <w:t>移交纸质登记档案的，迁出地登记机关应当通过专人送取、挂号信或者中国邮政特快专递的方式将登记档案移交至迁入地登记机关，不得交由经营主体自行携带。邮寄移交时应当对</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档案资料进行密封并加盖</w:t>
      </w:r>
      <w:r>
        <w:rPr>
          <w:rFonts w:hint="eastAsia" w:ascii="仿宋_GB2312" w:eastAsia="仿宋_GB2312"/>
          <w:color w:val="auto"/>
          <w:sz w:val="32"/>
          <w:szCs w:val="32"/>
          <w:lang w:eastAsia="zh-CN"/>
        </w:rPr>
        <w:t>迁出地登记机关公章或者档案管理专用印章。</w:t>
      </w:r>
    </w:p>
    <w:p w14:paraId="629508F0">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移交电子登记档案的，迁出地登记机关要将登记档案的全部电子数据迁移至迁入地登记机关。电子登记档案无法实现数据对接的，迁出地登记机关应当打印迁移</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纸质</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w:t>
      </w:r>
      <w:r>
        <w:rPr>
          <w:rFonts w:hint="eastAsia" w:ascii="仿宋_GB2312" w:eastAsia="仿宋_GB2312"/>
          <w:color w:val="auto"/>
          <w:sz w:val="32"/>
          <w:szCs w:val="32"/>
          <w:lang w:eastAsia="zh-CN"/>
        </w:rPr>
        <w:t>并加盖登记机关公章或者档案管理专用印章</w:t>
      </w:r>
      <w:r>
        <w:rPr>
          <w:rFonts w:hint="eastAsia" w:ascii="仿宋_GB2312" w:eastAsia="仿宋_GB2312"/>
          <w:color w:val="auto"/>
          <w:sz w:val="32"/>
          <w:szCs w:val="32"/>
        </w:rPr>
        <w:t>，按照纸质</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档案移交要求移交至迁入地登记机关。迁出地登记机关应当留存迁出经营主体的电子登记档案备查。</w:t>
      </w:r>
    </w:p>
    <w:p w14:paraId="55E4B078">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迁出地登记机关应当加强和迁入地登记机关的联系、配合，跟踪、掌握登记档案迁移情况。</w:t>
      </w:r>
    </w:p>
    <w:p w14:paraId="3FC77844">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第十七条</w:t>
      </w:r>
      <w:r>
        <w:rPr>
          <w:rFonts w:hint="eastAsia" w:ascii="黑体" w:hAnsi="黑体" w:eastAsia="黑体"/>
          <w:color w:val="auto"/>
          <w:sz w:val="32"/>
          <w:szCs w:val="32"/>
          <w:lang w:val="en-US" w:eastAsia="zh-CN"/>
        </w:rPr>
        <w:t xml:space="preserve"> </w:t>
      </w:r>
      <w:r>
        <w:rPr>
          <w:rFonts w:hint="eastAsia" w:ascii="仿宋_GB2312" w:eastAsia="仿宋_GB2312"/>
          <w:color w:val="auto"/>
          <w:sz w:val="32"/>
          <w:szCs w:val="32"/>
        </w:rPr>
        <w:t>登记机关应当持续优化登记档案迁移程序，加快登记档案迁移数据共享、信息联通，推行</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档案迁移网上办理。</w:t>
      </w:r>
    </w:p>
    <w:p w14:paraId="138D1799">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迁入地登记机关可以通过</w:t>
      </w:r>
      <w:r>
        <w:rPr>
          <w:rFonts w:hint="eastAsia" w:ascii="仿宋_GB2312" w:eastAsia="仿宋_GB2312"/>
          <w:color w:val="auto"/>
          <w:sz w:val="32"/>
          <w:szCs w:val="32"/>
        </w:rPr>
        <w:t>网络调阅</w:t>
      </w:r>
      <w:r>
        <w:rPr>
          <w:rFonts w:hint="eastAsia" w:ascii="仿宋_GB2312" w:eastAsia="仿宋_GB2312"/>
          <w:color w:val="auto"/>
          <w:sz w:val="32"/>
          <w:szCs w:val="32"/>
          <w:lang w:eastAsia="zh-CN"/>
        </w:rPr>
        <w:t>登记档案的</w:t>
      </w:r>
      <w:r>
        <w:rPr>
          <w:rFonts w:hint="eastAsia" w:ascii="仿宋_GB2312" w:eastAsia="仿宋_GB2312"/>
          <w:color w:val="auto"/>
          <w:sz w:val="32"/>
          <w:szCs w:val="32"/>
        </w:rPr>
        <w:t>，迁移期间经营主体</w:t>
      </w:r>
      <w:r>
        <w:rPr>
          <w:rFonts w:hint="eastAsia" w:ascii="仿宋_GB2312" w:eastAsia="仿宋_GB2312"/>
          <w:color w:val="auto"/>
          <w:sz w:val="32"/>
          <w:szCs w:val="32"/>
          <w:lang w:eastAsia="zh-CN"/>
        </w:rPr>
        <w:t>可以直接在</w:t>
      </w:r>
      <w:r>
        <w:rPr>
          <w:rFonts w:hint="eastAsia" w:ascii="仿宋_GB2312" w:eastAsia="仿宋_GB2312"/>
          <w:color w:val="auto"/>
          <w:sz w:val="32"/>
          <w:szCs w:val="32"/>
        </w:rPr>
        <w:t>迁入地登记机关办理登记业务。</w:t>
      </w:r>
    </w:p>
    <w:p w14:paraId="6B8E976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第十八条</w:t>
      </w:r>
      <w:r>
        <w:rPr>
          <w:rFonts w:hint="eastAsia" w:ascii="仿宋_GB2312" w:eastAsia="仿宋_GB2312"/>
          <w:color w:val="auto"/>
          <w:sz w:val="32"/>
          <w:szCs w:val="32"/>
        </w:rPr>
        <w:t xml:space="preserve"> 登记机关</w:t>
      </w:r>
      <w:r>
        <w:rPr>
          <w:rFonts w:hint="eastAsia" w:ascii="仿宋_GB2312" w:eastAsia="仿宋_GB2312"/>
          <w:color w:val="auto"/>
          <w:sz w:val="32"/>
          <w:szCs w:val="32"/>
          <w:lang w:val="en-US" w:eastAsia="zh-CN"/>
        </w:rPr>
        <w:t>应当依法</w:t>
      </w:r>
      <w:r>
        <w:rPr>
          <w:rFonts w:hint="eastAsia" w:ascii="仿宋_GB2312" w:eastAsia="仿宋_GB2312"/>
          <w:color w:val="auto"/>
          <w:sz w:val="32"/>
          <w:szCs w:val="32"/>
          <w:lang w:eastAsia="zh-CN"/>
        </w:rPr>
        <w:t>提供</w:t>
      </w:r>
      <w:r>
        <w:rPr>
          <w:rFonts w:hint="eastAsia" w:ascii="仿宋_GB2312" w:eastAsia="仿宋_GB2312"/>
          <w:color w:val="auto"/>
          <w:sz w:val="32"/>
          <w:szCs w:val="32"/>
        </w:rPr>
        <w:t>登记档案查询</w:t>
      </w:r>
      <w:r>
        <w:rPr>
          <w:rFonts w:hint="eastAsia" w:ascii="仿宋_GB2312" w:eastAsia="仿宋_GB2312"/>
          <w:color w:val="auto"/>
          <w:sz w:val="32"/>
          <w:szCs w:val="32"/>
          <w:lang w:eastAsia="zh-CN"/>
        </w:rPr>
        <w:t>服务</w:t>
      </w:r>
      <w:r>
        <w:rPr>
          <w:rFonts w:hint="eastAsia" w:ascii="仿宋_GB2312" w:eastAsia="仿宋_GB2312"/>
          <w:color w:val="auto"/>
          <w:sz w:val="32"/>
          <w:szCs w:val="32"/>
        </w:rPr>
        <w:t>，维护登记档案的完整与安全</w:t>
      </w:r>
      <w:r>
        <w:rPr>
          <w:rFonts w:hint="eastAsia" w:ascii="仿宋_GB2312" w:eastAsia="仿宋_GB2312"/>
          <w:color w:val="auto"/>
          <w:sz w:val="32"/>
          <w:szCs w:val="32"/>
          <w:lang w:eastAsia="zh-CN"/>
        </w:rPr>
        <w:t>，便于社会各方面利用</w:t>
      </w:r>
      <w:r>
        <w:rPr>
          <w:rFonts w:hint="eastAsia" w:ascii="仿宋_GB2312" w:eastAsia="仿宋_GB2312"/>
          <w:color w:val="auto"/>
          <w:sz w:val="32"/>
          <w:szCs w:val="32"/>
        </w:rPr>
        <w:t>。</w:t>
      </w:r>
    </w:p>
    <w:p w14:paraId="23EC5983">
      <w:pPr>
        <w:keepNext w:val="0"/>
        <w:keepLines w:val="0"/>
        <w:pageBreakBefore w:val="0"/>
        <w:widowControl/>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highlight w:val="yellow"/>
          <w:lang w:val="en-US" w:eastAsia="zh-CN"/>
        </w:rPr>
      </w:pPr>
      <w:r>
        <w:rPr>
          <w:rFonts w:hint="eastAsia" w:ascii="黑体" w:hAnsi="黑体" w:eastAsia="黑体" w:cs="黑体"/>
          <w:color w:val="auto"/>
          <w:sz w:val="32"/>
          <w:szCs w:val="32"/>
          <w:lang w:eastAsia="zh-CN"/>
        </w:rPr>
        <w:t>第十九条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公安机关、国家安全机关、检察机关、审判机关、纪检监察机关、审计机关等</w:t>
      </w:r>
      <w:r>
        <w:rPr>
          <w:rFonts w:hint="eastAsia" w:ascii="仿宋_GB2312" w:eastAsia="仿宋_GB2312"/>
          <w:color w:val="auto"/>
          <w:sz w:val="32"/>
          <w:szCs w:val="32"/>
          <w:lang w:eastAsia="zh-CN"/>
        </w:rPr>
        <w:t>根据工作需要依法</w:t>
      </w:r>
      <w:r>
        <w:rPr>
          <w:rFonts w:hint="eastAsia" w:ascii="仿宋_GB2312" w:eastAsia="仿宋_GB2312"/>
          <w:color w:val="auto"/>
          <w:sz w:val="32"/>
          <w:szCs w:val="32"/>
        </w:rPr>
        <w:t>查询与本机关职责相关的登记档案</w:t>
      </w:r>
      <w:r>
        <w:rPr>
          <w:rFonts w:hint="eastAsia" w:ascii="仿宋_GB2312" w:eastAsia="仿宋_GB2312"/>
          <w:color w:val="auto"/>
          <w:sz w:val="32"/>
          <w:szCs w:val="32"/>
          <w:lang w:eastAsia="zh-CN"/>
        </w:rPr>
        <w:t>，查询人员</w:t>
      </w:r>
      <w:r>
        <w:rPr>
          <w:rFonts w:hint="eastAsia" w:ascii="仿宋_GB2312" w:eastAsia="仿宋_GB2312"/>
          <w:color w:val="auto"/>
          <w:sz w:val="32"/>
          <w:szCs w:val="32"/>
        </w:rPr>
        <w:t>应当出具所在机关公函</w:t>
      </w:r>
      <w:r>
        <w:rPr>
          <w:rFonts w:hint="eastAsia" w:ascii="仿宋_GB2312" w:eastAsia="仿宋_GB2312"/>
          <w:color w:val="auto"/>
          <w:sz w:val="32"/>
          <w:szCs w:val="32"/>
          <w:lang w:eastAsia="zh-CN"/>
        </w:rPr>
        <w:t>或者相关文书，</w:t>
      </w:r>
      <w:r>
        <w:rPr>
          <w:rFonts w:hint="eastAsia" w:ascii="仿宋_GB2312" w:eastAsia="仿宋_GB2312"/>
          <w:color w:val="auto"/>
          <w:sz w:val="32"/>
          <w:szCs w:val="32"/>
        </w:rPr>
        <w:t>以及本人的有效工作证件</w:t>
      </w:r>
      <w:r>
        <w:rPr>
          <w:rFonts w:hint="eastAsia" w:ascii="仿宋_GB2312" w:eastAsia="仿宋_GB2312"/>
          <w:color w:val="auto"/>
          <w:sz w:val="32"/>
          <w:szCs w:val="32"/>
          <w:lang w:eastAsia="zh-CN"/>
        </w:rPr>
        <w:t>。</w:t>
      </w:r>
    </w:p>
    <w:p w14:paraId="3E0F664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第</w:t>
      </w:r>
      <w:r>
        <w:rPr>
          <w:rFonts w:hint="eastAsia" w:ascii="黑体" w:hAnsi="黑体" w:eastAsia="黑体"/>
          <w:color w:val="auto"/>
          <w:sz w:val="32"/>
          <w:szCs w:val="32"/>
          <w:lang w:eastAsia="zh-CN"/>
        </w:rPr>
        <w:t>二十</w:t>
      </w:r>
      <w:r>
        <w:rPr>
          <w:rFonts w:hint="eastAsia" w:ascii="黑体" w:hAnsi="黑体" w:eastAsia="黑体"/>
          <w:color w:val="auto"/>
          <w:sz w:val="32"/>
          <w:szCs w:val="32"/>
        </w:rPr>
        <w:t>条</w:t>
      </w:r>
      <w:r>
        <w:rPr>
          <w:rFonts w:hint="eastAsia" w:ascii="黑体" w:hAnsi="黑体" w:eastAsia="黑体"/>
          <w:color w:val="auto"/>
          <w:sz w:val="32"/>
          <w:szCs w:val="32"/>
          <w:lang w:val="en-US" w:eastAsia="zh-CN"/>
        </w:rPr>
        <w:t xml:space="preserve"> </w:t>
      </w:r>
      <w:r>
        <w:rPr>
          <w:rFonts w:hint="eastAsia" w:ascii="仿宋_GB2312" w:eastAsia="仿宋_GB2312"/>
          <w:color w:val="auto"/>
          <w:sz w:val="32"/>
          <w:szCs w:val="32"/>
          <w:lang w:val="en-US" w:eastAsia="zh-CN"/>
        </w:rPr>
        <w:t>相关</w:t>
      </w:r>
      <w:r>
        <w:rPr>
          <w:rFonts w:hint="eastAsia" w:ascii="仿宋_GB2312" w:eastAsia="仿宋_GB2312"/>
          <w:color w:val="auto"/>
          <w:sz w:val="32"/>
          <w:szCs w:val="32"/>
        </w:rPr>
        <w:t>公民、法人或者其他组织可以根据自身生产</w:t>
      </w:r>
      <w:r>
        <w:rPr>
          <w:rFonts w:hint="eastAsia" w:ascii="仿宋_GB2312" w:eastAsia="仿宋_GB2312"/>
          <w:color w:val="auto"/>
          <w:sz w:val="32"/>
          <w:szCs w:val="32"/>
          <w:lang w:val="en-US" w:eastAsia="zh-CN"/>
        </w:rPr>
        <w:t>经营、工作</w:t>
      </w:r>
      <w:r>
        <w:rPr>
          <w:rFonts w:hint="eastAsia" w:ascii="仿宋_GB2312" w:eastAsia="仿宋_GB2312"/>
          <w:color w:val="auto"/>
          <w:sz w:val="32"/>
          <w:szCs w:val="32"/>
        </w:rPr>
        <w:t>生活需要，向登记机关申请查询</w:t>
      </w:r>
      <w:r>
        <w:rPr>
          <w:rFonts w:hint="eastAsia" w:ascii="仿宋_GB2312" w:eastAsia="仿宋_GB2312"/>
          <w:color w:val="auto"/>
          <w:sz w:val="32"/>
          <w:szCs w:val="32"/>
          <w:lang w:val="en-US" w:eastAsia="zh-CN"/>
        </w:rPr>
        <w:t>下列</w:t>
      </w:r>
      <w:r>
        <w:rPr>
          <w:rFonts w:hint="eastAsia" w:ascii="仿宋_GB2312" w:eastAsia="仿宋_GB2312"/>
          <w:color w:val="auto"/>
          <w:sz w:val="32"/>
          <w:szCs w:val="32"/>
        </w:rPr>
        <w:t>登记档案：</w:t>
      </w:r>
    </w:p>
    <w:p w14:paraId="60B7C8F2">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一</w:t>
      </w:r>
      <w:r>
        <w:rPr>
          <w:rFonts w:hint="eastAsia" w:ascii="仿宋_GB2312" w:eastAsia="仿宋_GB2312"/>
          <w:color w:val="auto"/>
          <w:sz w:val="32"/>
          <w:szCs w:val="32"/>
        </w:rPr>
        <w:t>）经营主体可以</w:t>
      </w:r>
      <w:r>
        <w:rPr>
          <w:rFonts w:hint="eastAsia" w:ascii="仿宋_GB2312" w:eastAsia="仿宋_GB2312"/>
          <w:color w:val="auto"/>
          <w:sz w:val="32"/>
          <w:szCs w:val="32"/>
          <w:lang w:val="en-US" w:eastAsia="zh-CN"/>
        </w:rPr>
        <w:t>查询</w:t>
      </w:r>
      <w:r>
        <w:rPr>
          <w:rFonts w:hint="eastAsia" w:ascii="仿宋_GB2312" w:eastAsia="仿宋_GB2312"/>
          <w:color w:val="auto"/>
          <w:sz w:val="32"/>
          <w:szCs w:val="32"/>
        </w:rPr>
        <w:t>自身的登记档案；</w:t>
      </w:r>
    </w:p>
    <w:p w14:paraId="41EE0668">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（二）</w:t>
      </w:r>
      <w:r>
        <w:rPr>
          <w:rFonts w:hint="eastAsia" w:ascii="仿宋_GB2312" w:eastAsia="仿宋_GB2312"/>
          <w:color w:val="auto"/>
          <w:sz w:val="32"/>
          <w:szCs w:val="32"/>
        </w:rPr>
        <w:t>经营主体有效登记在册的相关人员，包括公司的法定代表人、有限责任公司和非上市股份有限公司股东、非公司企业法人的法定代表人和出资人、农民专业合作社（联合社）的法定代表人和成员，合伙企业合伙人、个人独资企业投资人、个体工商户经营者、各类分支机构的负责人等，可以查询其个人任职或者出资的</w:t>
      </w:r>
      <w:r>
        <w:rPr>
          <w:rFonts w:hint="eastAsia" w:ascii="仿宋_GB2312" w:eastAsia="仿宋_GB2312"/>
          <w:color w:val="auto"/>
          <w:sz w:val="32"/>
          <w:szCs w:val="32"/>
          <w:lang w:eastAsia="zh-CN"/>
        </w:rPr>
        <w:t>经营主体的</w:t>
      </w:r>
      <w:r>
        <w:rPr>
          <w:rFonts w:hint="eastAsia" w:ascii="仿宋_GB2312" w:eastAsia="仿宋_GB2312"/>
          <w:color w:val="auto"/>
          <w:sz w:val="32"/>
          <w:szCs w:val="32"/>
        </w:rPr>
        <w:t xml:space="preserve">登记档案； </w:t>
      </w:r>
    </w:p>
    <w:p w14:paraId="7E0F0312">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（三）受当事人委托的律师可以查询与其受委托事项相关的登记档案；</w:t>
      </w:r>
    </w:p>
    <w:p w14:paraId="1E8D890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（四）公证、仲裁、</w:t>
      </w:r>
      <w:r>
        <w:rPr>
          <w:rFonts w:hint="eastAsia" w:ascii="仿宋_GB2312" w:eastAsia="仿宋_GB2312"/>
          <w:color w:val="auto"/>
          <w:sz w:val="32"/>
          <w:szCs w:val="32"/>
          <w:lang w:eastAsia="zh-CN"/>
        </w:rPr>
        <w:t>司法</w:t>
      </w:r>
      <w:r>
        <w:rPr>
          <w:rFonts w:hint="eastAsia" w:ascii="仿宋_GB2312" w:eastAsia="仿宋_GB2312"/>
          <w:color w:val="auto"/>
          <w:sz w:val="32"/>
          <w:szCs w:val="32"/>
        </w:rPr>
        <w:t>鉴定等机构可以查询与其工作内容相关的登记档案；</w:t>
      </w:r>
    </w:p>
    <w:p w14:paraId="66CF2A90">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（五）破产管理人可以查询其负责破产清算经营主体的登记档案。</w:t>
      </w:r>
    </w:p>
    <w:p w14:paraId="3B70A8EA">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有关档案查询</w:t>
      </w:r>
      <w:r>
        <w:rPr>
          <w:rFonts w:hint="eastAsia" w:ascii="仿宋_GB2312" w:eastAsia="仿宋_GB2312"/>
          <w:color w:val="auto"/>
          <w:sz w:val="32"/>
          <w:szCs w:val="32"/>
          <w:lang w:eastAsia="zh-CN"/>
        </w:rPr>
        <w:t>申请</w:t>
      </w:r>
      <w:r>
        <w:rPr>
          <w:rFonts w:hint="eastAsia" w:ascii="仿宋_GB2312" w:eastAsia="仿宋_GB2312"/>
          <w:color w:val="auto"/>
          <w:sz w:val="32"/>
          <w:szCs w:val="32"/>
        </w:rPr>
        <w:t>不符合法律、法规</w:t>
      </w:r>
      <w:r>
        <w:rPr>
          <w:rFonts w:hint="eastAsia" w:ascii="仿宋_GB2312" w:eastAsia="仿宋_GB2312"/>
          <w:color w:val="auto"/>
          <w:sz w:val="32"/>
          <w:szCs w:val="32"/>
          <w:lang w:eastAsia="zh-CN"/>
        </w:rPr>
        <w:t>、规章</w:t>
      </w:r>
      <w:r>
        <w:rPr>
          <w:rFonts w:hint="eastAsia" w:ascii="仿宋_GB2312" w:eastAsia="仿宋_GB2312"/>
          <w:color w:val="auto"/>
          <w:sz w:val="32"/>
          <w:szCs w:val="32"/>
        </w:rPr>
        <w:t>规定，或者可能危害国家安全、社会公共利益的，</w:t>
      </w:r>
      <w:r>
        <w:rPr>
          <w:rFonts w:hint="eastAsia" w:ascii="仿宋_GB2312" w:hAnsi="Calibri" w:eastAsia="仿宋_GB2312" w:cs="Times New Roman"/>
          <w:color w:val="auto"/>
          <w:kern w:val="2"/>
          <w:sz w:val="32"/>
          <w:szCs w:val="32"/>
          <w:lang w:val="en-US" w:eastAsia="zh-CN" w:bidi="ar-SA"/>
        </w:rPr>
        <w:t>登记机关不予查询</w:t>
      </w:r>
      <w:r>
        <w:rPr>
          <w:rFonts w:hint="eastAsia" w:ascii="仿宋_GB2312" w:eastAsia="仿宋_GB2312"/>
          <w:color w:val="auto"/>
          <w:sz w:val="32"/>
          <w:szCs w:val="32"/>
        </w:rPr>
        <w:t>并说明理由。</w:t>
      </w:r>
    </w:p>
    <w:p w14:paraId="7D2D7D93">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登记机关作出登记决定时出具的审核文件，仅限公安机关、国家安全机关、检察机关、审判机关、纪检监察机关、审计机关等办理涉及登记机关的案件时进行查阅。</w:t>
      </w:r>
    </w:p>
    <w:p w14:paraId="77FC100C">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Times New Roman" w:hAnsi="Times New Roman" w:eastAsia="黑体" w:cs="黑体"/>
          <w:color w:val="auto"/>
          <w:sz w:val="32"/>
          <w:szCs w:val="32"/>
        </w:rPr>
        <w:t>第二十</w:t>
      </w:r>
      <w:r>
        <w:rPr>
          <w:rFonts w:hint="eastAsia" w:ascii="Times New Roman" w:hAnsi="Times New Roman" w:eastAsia="黑体" w:cs="黑体"/>
          <w:color w:val="auto"/>
          <w:sz w:val="32"/>
          <w:szCs w:val="32"/>
          <w:lang w:eastAsia="zh-CN"/>
        </w:rPr>
        <w:t>一</w:t>
      </w:r>
      <w:r>
        <w:rPr>
          <w:rFonts w:hint="eastAsia" w:ascii="Times New Roman" w:hAnsi="Times New Roman" w:eastAsia="黑体" w:cs="黑体"/>
          <w:color w:val="auto"/>
          <w:sz w:val="32"/>
          <w:szCs w:val="32"/>
        </w:rPr>
        <w:t>条</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登记</w:t>
      </w:r>
      <w:r>
        <w:rPr>
          <w:rFonts w:hint="eastAsia" w:ascii="仿宋_GB2312" w:eastAsia="仿宋_GB2312"/>
          <w:color w:val="auto"/>
          <w:sz w:val="32"/>
          <w:szCs w:val="32"/>
        </w:rPr>
        <w:t>档案信息实行实名查询，查询人员应当出具本人有效身份证件并配合登记机关核验身份信息。</w:t>
      </w:r>
    </w:p>
    <w:p w14:paraId="38C3888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申请查询登记档案，应</w:t>
      </w:r>
      <w:r>
        <w:rPr>
          <w:rFonts w:hint="eastAsia" w:ascii="仿宋_GB2312" w:eastAsia="仿宋_GB2312"/>
          <w:color w:val="auto"/>
          <w:sz w:val="32"/>
          <w:szCs w:val="32"/>
          <w:lang w:eastAsia="zh-CN"/>
        </w:rPr>
        <w:t>当</w:t>
      </w:r>
      <w:r>
        <w:rPr>
          <w:rFonts w:hint="eastAsia" w:ascii="仿宋_GB2312" w:eastAsia="仿宋_GB2312"/>
          <w:color w:val="auto"/>
          <w:sz w:val="32"/>
          <w:szCs w:val="32"/>
        </w:rPr>
        <w:t>提交查询档案申请</w:t>
      </w:r>
      <w:r>
        <w:rPr>
          <w:rFonts w:hint="eastAsia" w:ascii="仿宋_GB2312" w:eastAsia="仿宋_GB2312"/>
          <w:color w:val="auto"/>
          <w:sz w:val="32"/>
          <w:szCs w:val="32"/>
          <w:lang w:eastAsia="zh-CN"/>
        </w:rPr>
        <w:t>表以及</w:t>
      </w:r>
      <w:r>
        <w:rPr>
          <w:rFonts w:hint="eastAsia" w:ascii="仿宋_GB2312" w:eastAsia="仿宋_GB2312"/>
          <w:color w:val="auto"/>
          <w:sz w:val="32"/>
          <w:szCs w:val="32"/>
        </w:rPr>
        <w:t>以下材料：</w:t>
      </w:r>
    </w:p>
    <w:p w14:paraId="6357A59E">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（一）经营主体指定的查询人员应当出具经营主体的授权委托书或者有效介绍信</w:t>
      </w:r>
      <w:r>
        <w:rPr>
          <w:rFonts w:hint="eastAsia" w:ascii="仿宋_GB2312" w:eastAsia="仿宋_GB2312"/>
          <w:color w:val="auto"/>
          <w:sz w:val="32"/>
          <w:szCs w:val="32"/>
          <w:lang w:eastAsia="zh-CN"/>
        </w:rPr>
        <w:t>，以及</w:t>
      </w:r>
      <w:r>
        <w:rPr>
          <w:rFonts w:hint="eastAsia" w:ascii="仿宋_GB2312" w:eastAsia="仿宋_GB2312"/>
          <w:color w:val="auto"/>
          <w:sz w:val="32"/>
          <w:szCs w:val="32"/>
        </w:rPr>
        <w:t>加盖公章的营业执照复印件或者电子营业执照，未刻制公章的个体工商户提交由经营者签名的营业执照复印件或者电子营业执照；</w:t>
      </w:r>
    </w:p>
    <w:p w14:paraId="56164076">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（二）经营主体有效登记在册的相关人员查询</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查阅</w:t>
      </w:r>
      <w:r>
        <w:rPr>
          <w:rFonts w:hint="eastAsia" w:ascii="仿宋_GB2312" w:eastAsia="仿宋_GB2312"/>
          <w:color w:val="auto"/>
          <w:sz w:val="32"/>
          <w:szCs w:val="32"/>
        </w:rPr>
        <w:t>个人任职或者出资的经营主体的登记档案，应当出具合法有效的主体资格文件，非上市股份有限公司股东</w:t>
      </w:r>
      <w:r>
        <w:rPr>
          <w:rFonts w:hint="eastAsia" w:ascii="仿宋_GB2312" w:eastAsia="仿宋_GB2312"/>
          <w:color w:val="auto"/>
          <w:sz w:val="32"/>
          <w:szCs w:val="32"/>
          <w:lang w:eastAsia="zh-CN"/>
        </w:rPr>
        <w:t>还应当出示</w:t>
      </w:r>
      <w:r>
        <w:rPr>
          <w:rFonts w:hint="eastAsia" w:ascii="仿宋_GB2312" w:eastAsia="仿宋_GB2312"/>
          <w:color w:val="auto"/>
          <w:sz w:val="32"/>
          <w:szCs w:val="32"/>
        </w:rPr>
        <w:t>股票凭证</w:t>
      </w:r>
      <w:r>
        <w:rPr>
          <w:rFonts w:hint="eastAsia" w:ascii="仿宋_GB2312" w:eastAsia="仿宋_GB2312"/>
          <w:color w:val="auto"/>
          <w:sz w:val="32"/>
          <w:szCs w:val="32"/>
          <w:lang w:eastAsia="zh-CN"/>
        </w:rPr>
        <w:t>或者</w:t>
      </w:r>
      <w:r>
        <w:rPr>
          <w:rFonts w:hint="eastAsia" w:ascii="仿宋_GB2312" w:eastAsia="仿宋_GB2312"/>
          <w:color w:val="auto"/>
          <w:sz w:val="32"/>
          <w:szCs w:val="32"/>
        </w:rPr>
        <w:t>股东名册等能表明其资格的文件；</w:t>
      </w:r>
    </w:p>
    <w:p w14:paraId="01B434A7">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（三）律师应当出具本人的执业证书、载明其承办法律事务具体信息的律师事务所证明以及查询承诺书；</w:t>
      </w:r>
    </w:p>
    <w:p w14:paraId="38E77B1F">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（四）公证、仲裁等机构工作人员应当出具所在机构证明以及本人执业证件；司法鉴定机构工作人员应当出具有关单位委托其鉴定的委托书、加盖鉴定机构公章的介绍信或</w:t>
      </w:r>
      <w:r>
        <w:rPr>
          <w:rFonts w:hint="eastAsia" w:ascii="仿宋_GB2312" w:eastAsia="仿宋_GB2312"/>
          <w:color w:val="auto"/>
          <w:sz w:val="32"/>
          <w:szCs w:val="32"/>
          <w:lang w:eastAsia="zh-CN"/>
        </w:rPr>
        <w:t>者</w:t>
      </w:r>
      <w:r>
        <w:rPr>
          <w:rFonts w:hint="eastAsia" w:ascii="仿宋_GB2312" w:eastAsia="仿宋_GB2312"/>
          <w:color w:val="auto"/>
          <w:sz w:val="32"/>
          <w:szCs w:val="32"/>
        </w:rPr>
        <w:t>公函；</w:t>
      </w:r>
    </w:p>
    <w:p w14:paraId="58608439">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（五）</w:t>
      </w:r>
      <w:r>
        <w:rPr>
          <w:rFonts w:hint="eastAsia" w:ascii="仿宋_GB2312" w:eastAsia="仿宋_GB2312"/>
          <w:color w:val="auto"/>
          <w:sz w:val="32"/>
          <w:szCs w:val="32"/>
          <w:lang w:eastAsia="zh-CN"/>
        </w:rPr>
        <w:t>破产管理人指定的查询人员应当出具破产管理人的授权委托书、人民法院破产案件受理裁定书以及指定管理人决定书。</w:t>
      </w:r>
    </w:p>
    <w:p w14:paraId="1AE02EF7">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s="黑体"/>
          <w:color w:val="auto"/>
          <w:sz w:val="32"/>
          <w:szCs w:val="32"/>
        </w:rPr>
        <w:t>第二十</w:t>
      </w: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条</w:t>
      </w:r>
      <w:r>
        <w:rPr>
          <w:rFonts w:hint="eastAsia" w:ascii="仿宋_GB2312" w:eastAsia="仿宋_GB2312"/>
          <w:color w:val="auto"/>
          <w:sz w:val="32"/>
          <w:szCs w:val="32"/>
        </w:rPr>
        <w:t xml:space="preserve"> 登记机关应当为社会提供登记档案记载的登记事项信息查询</w:t>
      </w:r>
      <w:r>
        <w:rPr>
          <w:rFonts w:hint="eastAsia" w:ascii="仿宋_GB2312" w:eastAsia="仿宋_GB2312"/>
          <w:color w:val="auto"/>
          <w:sz w:val="32"/>
          <w:szCs w:val="32"/>
          <w:lang w:eastAsia="zh-CN"/>
        </w:rPr>
        <w:t>服务</w:t>
      </w:r>
      <w:r>
        <w:rPr>
          <w:rFonts w:hint="eastAsia" w:ascii="仿宋_GB2312" w:eastAsia="仿宋_GB2312"/>
          <w:color w:val="auto"/>
          <w:sz w:val="32"/>
          <w:szCs w:val="32"/>
        </w:rPr>
        <w:t>。任何组织和个人均可以向登记机关申请查询登记事项信息。</w:t>
      </w:r>
    </w:p>
    <w:p w14:paraId="57B58853">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登记机关应当</w:t>
      </w:r>
      <w:r>
        <w:rPr>
          <w:rFonts w:hint="eastAsia" w:ascii="仿宋_GB2312" w:eastAsia="仿宋_GB2312"/>
          <w:color w:val="auto"/>
          <w:sz w:val="32"/>
          <w:szCs w:val="32"/>
          <w:lang w:eastAsia="zh-CN"/>
        </w:rPr>
        <w:t>根据申请人的需要</w:t>
      </w:r>
      <w:r>
        <w:rPr>
          <w:rFonts w:hint="eastAsia" w:ascii="仿宋_GB2312" w:eastAsia="仿宋_GB2312"/>
          <w:color w:val="auto"/>
          <w:sz w:val="32"/>
          <w:szCs w:val="32"/>
        </w:rPr>
        <w:t>在登记事项信息查询结果上加盖档案查询专用章。</w:t>
      </w:r>
    </w:p>
    <w:p w14:paraId="1827C806">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第二十</w:t>
      </w:r>
      <w:r>
        <w:rPr>
          <w:rFonts w:hint="eastAsia" w:ascii="黑体" w:hAnsi="黑体" w:eastAsia="黑体"/>
          <w:color w:val="auto"/>
          <w:sz w:val="32"/>
          <w:szCs w:val="32"/>
          <w:lang w:eastAsia="zh-CN"/>
        </w:rPr>
        <w:t>三</w:t>
      </w:r>
      <w:r>
        <w:rPr>
          <w:rFonts w:hint="eastAsia" w:ascii="黑体" w:hAnsi="黑体" w:eastAsia="黑体"/>
          <w:color w:val="auto"/>
          <w:sz w:val="32"/>
          <w:szCs w:val="32"/>
        </w:rPr>
        <w:t>条</w:t>
      </w:r>
      <w:r>
        <w:rPr>
          <w:rFonts w:hint="eastAsia" w:ascii="黑体" w:hAnsi="黑体" w:eastAsia="黑体"/>
          <w:color w:val="auto"/>
          <w:sz w:val="32"/>
          <w:szCs w:val="32"/>
          <w:lang w:val="en-US" w:eastAsia="zh-CN"/>
        </w:rPr>
        <w:t xml:space="preserve"> </w:t>
      </w:r>
      <w:r>
        <w:rPr>
          <w:rFonts w:hint="eastAsia" w:ascii="Times New Roman" w:hAnsi="Times New Roman" w:eastAsia="仿宋_GB2312" w:cs="仿宋_GB2312"/>
          <w:color w:val="auto"/>
          <w:sz w:val="32"/>
          <w:szCs w:val="32"/>
          <w:lang w:eastAsia="zh-CN"/>
        </w:rPr>
        <w:t>鼓励登记机关加快推进登记档案电子化</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rPr>
        <w:t>实现以登记档案数字化副本代替原件</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提供互联网</w:t>
      </w:r>
      <w:r>
        <w:rPr>
          <w:rFonts w:hint="eastAsia" w:ascii="Times New Roman" w:hAnsi="Times New Roman" w:eastAsia="仿宋_GB2312" w:cs="仿宋_GB2312"/>
          <w:color w:val="auto"/>
          <w:sz w:val="32"/>
          <w:szCs w:val="32"/>
          <w:lang w:eastAsia="zh-CN"/>
        </w:rPr>
        <w:t>自助</w:t>
      </w:r>
      <w:r>
        <w:rPr>
          <w:rFonts w:hint="eastAsia" w:ascii="Times New Roman" w:hAnsi="Times New Roman" w:eastAsia="仿宋_GB2312" w:cs="仿宋_GB2312"/>
          <w:color w:val="auto"/>
          <w:sz w:val="32"/>
          <w:szCs w:val="32"/>
        </w:rPr>
        <w:t>查询</w:t>
      </w:r>
      <w:r>
        <w:rPr>
          <w:rFonts w:hint="eastAsia" w:ascii="Times New Roman" w:hAnsi="Times New Roman" w:eastAsia="仿宋_GB2312" w:cs="仿宋_GB2312"/>
          <w:color w:val="auto"/>
          <w:sz w:val="32"/>
          <w:szCs w:val="32"/>
          <w:lang w:eastAsia="zh-CN"/>
        </w:rPr>
        <w:t>、下载</w:t>
      </w:r>
      <w:r>
        <w:rPr>
          <w:rFonts w:hint="eastAsia" w:ascii="Times New Roman" w:hAnsi="Times New Roman" w:eastAsia="仿宋_GB2312" w:cs="仿宋_GB2312"/>
          <w:color w:val="auto"/>
          <w:sz w:val="32"/>
          <w:szCs w:val="32"/>
        </w:rPr>
        <w:t>服务。</w:t>
      </w:r>
      <w:r>
        <w:rPr>
          <w:rFonts w:hint="eastAsia" w:ascii="仿宋_GB2312" w:eastAsia="仿宋_GB2312"/>
          <w:color w:val="auto"/>
          <w:sz w:val="32"/>
          <w:szCs w:val="32"/>
        </w:rPr>
        <w:t xml:space="preserve"> </w:t>
      </w:r>
    </w:p>
    <w:p w14:paraId="31DFC6E9">
      <w:pPr>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通过互联网自助查询登记档案的</w:t>
      </w:r>
      <w:r>
        <w:rPr>
          <w:rFonts w:hint="eastAsia" w:ascii="Times New Roman" w:hAnsi="Times New Roman" w:eastAsia="仿宋_GB2312" w:cs="仿宋_GB2312"/>
          <w:color w:val="auto"/>
          <w:sz w:val="32"/>
          <w:szCs w:val="32"/>
        </w:rPr>
        <w:t>，按照本办法第十九条、第二十条</w:t>
      </w:r>
      <w:r>
        <w:rPr>
          <w:rFonts w:hint="eastAsia" w:ascii="Times New Roman" w:hAnsi="Times New Roman" w:eastAsia="仿宋_GB2312" w:cs="仿宋_GB2312"/>
          <w:color w:val="auto"/>
          <w:sz w:val="32"/>
          <w:szCs w:val="32"/>
          <w:lang w:eastAsia="zh-CN"/>
        </w:rPr>
        <w:t>、第二十一条</w:t>
      </w:r>
      <w:r>
        <w:rPr>
          <w:rFonts w:hint="eastAsia" w:ascii="Times New Roman" w:hAnsi="Times New Roman" w:eastAsia="仿宋_GB2312" w:cs="仿宋_GB2312"/>
          <w:color w:val="auto"/>
          <w:sz w:val="32"/>
          <w:szCs w:val="32"/>
        </w:rPr>
        <w:t>的规定执行。</w:t>
      </w:r>
    </w:p>
    <w:p w14:paraId="3011981A">
      <w:pPr>
        <w:keepNext w:val="0"/>
        <w:keepLines w:val="0"/>
        <w:pageBreakBefore w:val="0"/>
        <w:widowControl w:val="0"/>
        <w:shd w:val="solid" w:color="FFFFFF" w:fill="auto"/>
        <w:kinsoku/>
        <w:wordWrap/>
        <w:overflowPunct/>
        <w:topLinePunct w:val="0"/>
        <w:autoSpaceDE/>
        <w:autoSpaceDN w:val="0"/>
        <w:bidi w:val="0"/>
        <w:adjustRightInd/>
        <w:snapToGrid/>
        <w:spacing w:line="580" w:lineRule="exact"/>
        <w:ind w:firstLine="640" w:firstLineChars="200"/>
        <w:textAlignment w:val="auto"/>
        <w:rPr>
          <w:rFonts w:ascii="Times New Roman" w:hAnsi="Times New Roman" w:eastAsia="仿宋_GB2312" w:cs="仿宋_GB2312"/>
          <w:color w:val="auto"/>
          <w:sz w:val="32"/>
          <w:szCs w:val="32"/>
          <w:highlight w:val="none"/>
        </w:rPr>
      </w:pPr>
      <w:r>
        <w:rPr>
          <w:rFonts w:hint="eastAsia" w:ascii="黑体" w:hAnsi="黑体" w:eastAsia="黑体"/>
          <w:color w:val="auto"/>
          <w:sz w:val="32"/>
          <w:szCs w:val="32"/>
        </w:rPr>
        <w:t>第二十</w:t>
      </w:r>
      <w:r>
        <w:rPr>
          <w:rFonts w:hint="eastAsia" w:ascii="黑体" w:hAnsi="黑体" w:eastAsia="黑体"/>
          <w:color w:val="auto"/>
          <w:sz w:val="32"/>
          <w:szCs w:val="32"/>
          <w:lang w:eastAsia="zh-CN"/>
        </w:rPr>
        <w:t>四</w:t>
      </w:r>
      <w:r>
        <w:rPr>
          <w:rFonts w:hint="eastAsia" w:ascii="黑体" w:hAnsi="黑体" w:eastAsia="黑体"/>
          <w:color w:val="auto"/>
          <w:sz w:val="32"/>
          <w:szCs w:val="32"/>
        </w:rPr>
        <w:t>条</w:t>
      </w:r>
      <w:r>
        <w:rPr>
          <w:rFonts w:hint="eastAsia" w:ascii="仿宋_GB2312" w:eastAsia="仿宋_GB2312"/>
          <w:color w:val="auto"/>
          <w:sz w:val="32"/>
          <w:szCs w:val="32"/>
        </w:rPr>
        <w:t xml:space="preserve"> </w:t>
      </w:r>
      <w:r>
        <w:rPr>
          <w:rFonts w:hint="eastAsia" w:ascii="Times New Roman" w:hAnsi="Times New Roman" w:eastAsia="仿宋_GB2312" w:cs="仿宋_GB2312"/>
          <w:color w:val="auto"/>
          <w:sz w:val="32"/>
          <w:szCs w:val="32"/>
        </w:rPr>
        <w:t>登记档案数字化副本应当为符合国家标准的版式文件，</w:t>
      </w:r>
      <w:r>
        <w:rPr>
          <w:rFonts w:hint="eastAsia" w:ascii="Times New Roman" w:hAnsi="Times New Roman" w:eastAsia="仿宋_GB2312" w:cs="仿宋_GB2312"/>
          <w:color w:val="auto"/>
          <w:sz w:val="32"/>
          <w:szCs w:val="32"/>
          <w:lang w:eastAsia="zh-CN"/>
        </w:rPr>
        <w:t>与原件内容保持一致，</w:t>
      </w:r>
      <w:r>
        <w:rPr>
          <w:rFonts w:hint="eastAsia" w:ascii="Times New Roman" w:hAnsi="Times New Roman" w:eastAsia="仿宋_GB2312" w:cs="仿宋_GB2312"/>
          <w:color w:val="auto"/>
          <w:sz w:val="32"/>
          <w:szCs w:val="32"/>
        </w:rPr>
        <w:t>逐页加载登记机关相关标识或者</w:t>
      </w:r>
      <w:r>
        <w:rPr>
          <w:rFonts w:hint="eastAsia" w:ascii="Times New Roman" w:hAnsi="Times New Roman" w:eastAsia="仿宋_GB2312" w:cs="仿宋_GB2312"/>
          <w:strike w:val="0"/>
          <w:color w:val="auto"/>
          <w:sz w:val="32"/>
          <w:szCs w:val="32"/>
          <w:highlight w:val="none"/>
        </w:rPr>
        <w:t>档案查询</w:t>
      </w:r>
      <w:r>
        <w:rPr>
          <w:rFonts w:hint="eastAsia" w:ascii="Times New Roman" w:hAnsi="Times New Roman" w:eastAsia="仿宋_GB2312" w:cs="仿宋_GB2312"/>
          <w:color w:val="auto"/>
          <w:sz w:val="32"/>
          <w:szCs w:val="32"/>
          <w:highlight w:val="none"/>
        </w:rPr>
        <w:t>电子印章，逐页标注</w:t>
      </w:r>
      <w:r>
        <w:rPr>
          <w:rFonts w:hint="eastAsia" w:ascii="Times New Roman" w:hAnsi="Times New Roman" w:eastAsia="仿宋_GB2312" w:cs="仿宋_GB2312"/>
          <w:color w:val="auto"/>
          <w:sz w:val="32"/>
          <w:szCs w:val="32"/>
          <w:highlight w:val="none"/>
          <w:lang w:val="en-US" w:eastAsia="zh-CN"/>
        </w:rPr>
        <w:t>查询人员相关信息</w:t>
      </w:r>
      <w:r>
        <w:rPr>
          <w:rFonts w:hint="eastAsia" w:ascii="Times New Roman" w:hAnsi="Times New Roman" w:eastAsia="仿宋_GB2312" w:cs="仿宋_GB2312"/>
          <w:color w:val="auto"/>
          <w:sz w:val="32"/>
          <w:szCs w:val="32"/>
          <w:highlight w:val="none"/>
        </w:rPr>
        <w:t>水印标识</w:t>
      </w:r>
      <w:r>
        <w:rPr>
          <w:rFonts w:hint="eastAsia" w:ascii="Times New Roman" w:hAnsi="Times New Roman" w:eastAsia="仿宋_GB2312" w:cs="仿宋_GB2312"/>
          <w:color w:val="auto"/>
          <w:sz w:val="32"/>
          <w:szCs w:val="32"/>
          <w:highlight w:val="none"/>
          <w:lang w:eastAsia="zh-CN"/>
        </w:rPr>
        <w:t>，防止副本被非法利用</w:t>
      </w:r>
      <w:r>
        <w:rPr>
          <w:rFonts w:hint="eastAsia" w:ascii="Times New Roman" w:hAnsi="Times New Roman" w:eastAsia="仿宋_GB2312" w:cs="仿宋_GB2312"/>
          <w:color w:val="auto"/>
          <w:sz w:val="32"/>
          <w:szCs w:val="32"/>
          <w:highlight w:val="none"/>
        </w:rPr>
        <w:t>。</w:t>
      </w:r>
    </w:p>
    <w:p w14:paraId="78991999">
      <w:pPr>
        <w:pStyle w:val="6"/>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hAnsi="Calibri" w:eastAsia="仿宋_GB2312" w:cs="Times New Roman"/>
          <w:color w:val="auto"/>
          <w:kern w:val="2"/>
          <w:sz w:val="32"/>
          <w:szCs w:val="32"/>
          <w:highlight w:val="none"/>
          <w:lang w:val="en-US" w:eastAsia="zh-CN" w:bidi="ar-SA"/>
        </w:rPr>
        <w:t>相关登记档案数字化副本已经加载</w:t>
      </w:r>
      <w:r>
        <w:rPr>
          <w:rFonts w:hint="eastAsia" w:ascii="Times New Roman" w:hAnsi="Times New Roman" w:eastAsia="仿宋_GB2312" w:cs="仿宋_GB2312"/>
          <w:color w:val="auto"/>
          <w:sz w:val="32"/>
          <w:szCs w:val="32"/>
          <w:highlight w:val="none"/>
        </w:rPr>
        <w:t>登记机关相关标识或者</w:t>
      </w:r>
      <w:r>
        <w:rPr>
          <w:rFonts w:hint="eastAsia" w:ascii="Times New Roman" w:hAnsi="Times New Roman" w:eastAsia="仿宋_GB2312" w:cs="仿宋_GB2312"/>
          <w:strike w:val="0"/>
          <w:color w:val="auto"/>
          <w:sz w:val="32"/>
          <w:szCs w:val="32"/>
          <w:highlight w:val="none"/>
        </w:rPr>
        <w:t>档案查询</w:t>
      </w:r>
      <w:r>
        <w:rPr>
          <w:rFonts w:hint="eastAsia" w:ascii="Times New Roman" w:hAnsi="Times New Roman" w:eastAsia="仿宋_GB2312" w:cs="仿宋_GB2312"/>
          <w:color w:val="auto"/>
          <w:sz w:val="32"/>
          <w:szCs w:val="32"/>
          <w:highlight w:val="none"/>
        </w:rPr>
        <w:t>电子印章</w:t>
      </w:r>
      <w:r>
        <w:rPr>
          <w:rFonts w:hint="eastAsia" w:ascii="仿宋_GB2312" w:hAnsi="Calibri" w:eastAsia="仿宋_GB2312" w:cs="Times New Roman"/>
          <w:color w:val="auto"/>
          <w:kern w:val="2"/>
          <w:sz w:val="32"/>
          <w:szCs w:val="32"/>
          <w:lang w:val="en-US" w:eastAsia="zh-CN" w:bidi="ar-SA"/>
        </w:rPr>
        <w:t>的</w:t>
      </w:r>
      <w:r>
        <w:rPr>
          <w:rFonts w:hint="eastAsia" w:ascii="Times New Roman" w:hAnsi="Times New Roman" w:eastAsia="仿宋_GB2312" w:cs="仿宋_GB2312"/>
          <w:color w:val="auto"/>
          <w:sz w:val="32"/>
          <w:szCs w:val="32"/>
        </w:rPr>
        <w:t>，下载后可自行打印使用，打印文件无需另行加盖</w:t>
      </w:r>
      <w:r>
        <w:rPr>
          <w:rFonts w:hint="eastAsia" w:ascii="Times New Roman" w:hAnsi="Times New Roman" w:eastAsia="仿宋_GB2312" w:cs="仿宋_GB2312"/>
          <w:color w:val="auto"/>
          <w:sz w:val="32"/>
          <w:szCs w:val="32"/>
          <w:lang w:val="en-US" w:eastAsia="zh-CN"/>
        </w:rPr>
        <w:t>相关</w:t>
      </w:r>
      <w:r>
        <w:rPr>
          <w:rFonts w:hint="eastAsia" w:ascii="Times New Roman" w:hAnsi="Times New Roman" w:eastAsia="仿宋_GB2312" w:cs="仿宋_GB2312"/>
          <w:color w:val="auto"/>
          <w:sz w:val="32"/>
          <w:szCs w:val="32"/>
        </w:rPr>
        <w:t>印章。</w:t>
      </w:r>
    </w:p>
    <w:p w14:paraId="78931F9E">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ascii="仿宋_GB2312" w:eastAsia="仿宋_GB2312"/>
          <w:color w:val="auto"/>
          <w:sz w:val="32"/>
          <w:szCs w:val="32"/>
        </w:rPr>
      </w:pPr>
      <w:r>
        <w:rPr>
          <w:rFonts w:hint="eastAsia" w:ascii="黑体" w:hAnsi="黑体" w:eastAsia="黑体"/>
          <w:color w:val="auto"/>
          <w:sz w:val="32"/>
          <w:szCs w:val="32"/>
        </w:rPr>
        <w:t>第二十</w:t>
      </w:r>
      <w:r>
        <w:rPr>
          <w:rFonts w:hint="eastAsia" w:ascii="黑体" w:hAnsi="黑体" w:eastAsia="黑体"/>
          <w:color w:val="auto"/>
          <w:sz w:val="32"/>
          <w:szCs w:val="32"/>
          <w:lang w:eastAsia="zh-CN"/>
        </w:rPr>
        <w:t>五</w:t>
      </w:r>
      <w:r>
        <w:rPr>
          <w:rFonts w:hint="eastAsia" w:ascii="黑体" w:hAnsi="黑体" w:eastAsia="黑体"/>
          <w:color w:val="auto"/>
          <w:sz w:val="32"/>
          <w:szCs w:val="32"/>
        </w:rPr>
        <w:t>条</w:t>
      </w:r>
      <w:r>
        <w:rPr>
          <w:rFonts w:hint="eastAsia" w:ascii="仿宋_GB2312" w:eastAsia="仿宋_GB2312"/>
          <w:color w:val="auto"/>
          <w:sz w:val="32"/>
          <w:szCs w:val="32"/>
        </w:rPr>
        <w:t xml:space="preserve"> 查询人不得以不正当方式获取、利用登记档案</w:t>
      </w:r>
      <w:r>
        <w:rPr>
          <w:rFonts w:hint="eastAsia" w:ascii="仿宋_GB2312" w:eastAsia="仿宋_GB2312"/>
          <w:color w:val="auto"/>
          <w:sz w:val="32"/>
          <w:szCs w:val="32"/>
          <w:lang w:val="en-US" w:eastAsia="zh-CN"/>
        </w:rPr>
        <w:t>或者</w:t>
      </w:r>
      <w:r>
        <w:rPr>
          <w:rFonts w:hint="eastAsia" w:ascii="仿宋_GB2312" w:eastAsia="仿宋_GB2312"/>
          <w:color w:val="auto"/>
          <w:sz w:val="32"/>
          <w:szCs w:val="32"/>
        </w:rPr>
        <w:t>牟取不正当利益。</w:t>
      </w:r>
    </w:p>
    <w:p w14:paraId="3654E06C">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前款所称不正当方式包括但不限于提交虚假材料或者采取其他欺诈手段隐瞒重要事实申请查询登记档案。</w:t>
      </w:r>
    </w:p>
    <w:p w14:paraId="3865106C">
      <w:pPr>
        <w:keepNext w:val="0"/>
        <w:keepLines w:val="0"/>
        <w:pageBreakBefore w:val="0"/>
        <w:widowControl w:val="0"/>
        <w:kinsoku/>
        <w:wordWrap/>
        <w:overflowPunct/>
        <w:topLinePunct w:val="0"/>
        <w:autoSpaceDE/>
        <w:bidi w:val="0"/>
        <w:adjustRightInd/>
        <w:snapToGrid/>
        <w:spacing w:after="0" w:line="5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查询登记档案，不得在案卷上修改、涂抹</w:t>
      </w:r>
      <w:r>
        <w:rPr>
          <w:rFonts w:hint="eastAsia" w:ascii="仿宋_GB2312" w:eastAsia="仿宋_GB2312"/>
          <w:color w:val="auto"/>
          <w:sz w:val="32"/>
          <w:szCs w:val="32"/>
          <w:lang w:eastAsia="zh-CN"/>
        </w:rPr>
        <w:t>、</w:t>
      </w:r>
      <w:r>
        <w:rPr>
          <w:rFonts w:hint="eastAsia" w:ascii="仿宋_GB2312" w:eastAsia="仿宋_GB2312"/>
          <w:color w:val="auto"/>
          <w:sz w:val="32"/>
          <w:szCs w:val="32"/>
        </w:rPr>
        <w:t>标注，不得</w:t>
      </w:r>
      <w:r>
        <w:rPr>
          <w:rFonts w:hint="eastAsia" w:ascii="仿宋_GB2312" w:eastAsia="仿宋_GB2312"/>
          <w:color w:val="auto"/>
          <w:sz w:val="32"/>
          <w:szCs w:val="32"/>
          <w:lang w:val="en-US" w:eastAsia="zh-CN"/>
        </w:rPr>
        <w:t>拆取、</w:t>
      </w:r>
      <w:r>
        <w:rPr>
          <w:rFonts w:hint="eastAsia" w:ascii="仿宋_GB2312" w:eastAsia="仿宋_GB2312"/>
          <w:color w:val="auto"/>
          <w:sz w:val="32"/>
          <w:szCs w:val="32"/>
        </w:rPr>
        <w:t>损毁</w:t>
      </w:r>
      <w:r>
        <w:rPr>
          <w:rFonts w:hint="eastAsia" w:ascii="仿宋_GB2312" w:eastAsia="仿宋_GB2312"/>
          <w:color w:val="auto"/>
          <w:sz w:val="32"/>
          <w:szCs w:val="32"/>
          <w:lang w:eastAsia="zh-CN"/>
        </w:rPr>
        <w:t>或者违规</w:t>
      </w:r>
      <w:r>
        <w:rPr>
          <w:rFonts w:hint="eastAsia" w:ascii="仿宋_GB2312" w:eastAsia="仿宋_GB2312"/>
          <w:color w:val="auto"/>
          <w:sz w:val="32"/>
          <w:szCs w:val="32"/>
        </w:rPr>
        <w:t>抄录、公布、带离登记档案资料。</w:t>
      </w:r>
    </w:p>
    <w:p w14:paraId="4FC0AD0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第二十</w:t>
      </w:r>
      <w:r>
        <w:rPr>
          <w:rFonts w:hint="eastAsia" w:ascii="黑体" w:hAnsi="黑体" w:eastAsia="黑体"/>
          <w:color w:val="auto"/>
          <w:sz w:val="32"/>
          <w:szCs w:val="32"/>
          <w:lang w:eastAsia="zh-CN"/>
        </w:rPr>
        <w:t>六</w:t>
      </w:r>
      <w:r>
        <w:rPr>
          <w:rFonts w:hint="eastAsia" w:ascii="黑体" w:hAnsi="黑体" w:eastAsia="黑体"/>
          <w:color w:val="auto"/>
          <w:sz w:val="32"/>
          <w:szCs w:val="32"/>
        </w:rPr>
        <w:t>条</w:t>
      </w:r>
      <w:r>
        <w:rPr>
          <w:rFonts w:hint="eastAsia" w:ascii="仿宋_GB2312" w:eastAsia="仿宋_GB2312"/>
          <w:color w:val="auto"/>
          <w:sz w:val="32"/>
          <w:szCs w:val="32"/>
        </w:rPr>
        <w:t xml:space="preserve"> 登记档案内容涉及国家秘密、商业秘密</w:t>
      </w:r>
      <w:r>
        <w:rPr>
          <w:rFonts w:hint="eastAsia" w:ascii="仿宋_GB2312" w:eastAsia="仿宋_GB2312"/>
          <w:color w:val="auto"/>
          <w:sz w:val="32"/>
          <w:szCs w:val="32"/>
          <w:lang w:eastAsia="zh-CN"/>
        </w:rPr>
        <w:t>、个人隐私</w:t>
      </w:r>
      <w:r>
        <w:rPr>
          <w:rFonts w:hint="eastAsia" w:ascii="仿宋_GB2312" w:eastAsia="仿宋_GB2312"/>
          <w:color w:val="auto"/>
          <w:sz w:val="32"/>
          <w:szCs w:val="32"/>
        </w:rPr>
        <w:t>和个人信息等内容的，其保管和利用应当按照</w:t>
      </w:r>
      <w:r>
        <w:rPr>
          <w:rFonts w:hint="eastAsia" w:ascii="仿宋_GB2312" w:eastAsia="仿宋_GB2312"/>
          <w:color w:val="auto"/>
          <w:sz w:val="32"/>
          <w:szCs w:val="32"/>
          <w:lang w:eastAsia="zh-CN"/>
        </w:rPr>
        <w:t>国家</w:t>
      </w:r>
      <w:r>
        <w:rPr>
          <w:rFonts w:hint="eastAsia" w:ascii="仿宋_GB2312" w:eastAsia="仿宋_GB2312"/>
          <w:color w:val="auto"/>
          <w:sz w:val="32"/>
          <w:szCs w:val="32"/>
        </w:rPr>
        <w:t>有关规定办理。</w:t>
      </w:r>
    </w:p>
    <w:p w14:paraId="1F3515C1">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登记机关应当加强对相关资料文件或者信息的分类保管和利用，遵守国家有关规定。</w:t>
      </w:r>
    </w:p>
    <w:p w14:paraId="640448CC">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lang w:eastAsia="zh-CN"/>
        </w:rPr>
      </w:pPr>
      <w:r>
        <w:rPr>
          <w:rFonts w:hint="eastAsia" w:ascii="黑体" w:hAnsi="黑体" w:eastAsia="黑体" w:cs="黑体"/>
          <w:color w:val="auto"/>
          <w:sz w:val="32"/>
          <w:szCs w:val="32"/>
          <w:lang w:eastAsia="zh-CN"/>
        </w:rPr>
        <w:t xml:space="preserve">第二十七条 </w:t>
      </w:r>
      <w:r>
        <w:rPr>
          <w:rFonts w:hint="eastAsia" w:ascii="仿宋_GB2312" w:eastAsia="仿宋_GB2312"/>
          <w:color w:val="auto"/>
          <w:sz w:val="32"/>
          <w:szCs w:val="32"/>
          <w:lang w:eastAsia="zh-CN"/>
        </w:rPr>
        <w:t>行政机关和法律、法规授权的具有管理公共事务职能的组织违反《中华人民共和国反垄断法》《公平竞争审查条例》等法律法规规章的规定，限制、妨碍经营主体登记档案迁移的，应当依法予以处理。</w:t>
      </w:r>
    </w:p>
    <w:p w14:paraId="79557C73">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黑体" w:hAnsi="黑体" w:eastAsia="黑体" w:cs="黑体"/>
          <w:color w:val="auto"/>
          <w:sz w:val="32"/>
          <w:szCs w:val="32"/>
          <w:lang w:eastAsia="zh-CN"/>
        </w:rPr>
        <w:t xml:space="preserve">第二十八条 </w:t>
      </w:r>
      <w:r>
        <w:rPr>
          <w:rFonts w:hint="eastAsia" w:ascii="Times New Roman" w:hAnsi="Times New Roman" w:eastAsia="仿宋_GB2312" w:cs="仿宋_GB2312"/>
          <w:color w:val="auto"/>
          <w:sz w:val="32"/>
          <w:szCs w:val="32"/>
          <w:lang w:eastAsia="zh-CN"/>
        </w:rPr>
        <w:t>登记档案管理部门工作人员有下列行为之一，县级以上登记档案管理部门可以对直接责任人员和负有管理责任的主管人员</w:t>
      </w:r>
      <w:r>
        <w:rPr>
          <w:rFonts w:hint="eastAsia" w:ascii="仿宋_GB2312" w:eastAsia="仿宋_GB2312"/>
          <w:color w:val="auto"/>
          <w:sz w:val="32"/>
          <w:szCs w:val="32"/>
          <w:lang w:eastAsia="zh-CN"/>
        </w:rPr>
        <w:t>依法依规</w:t>
      </w:r>
      <w:r>
        <w:rPr>
          <w:rFonts w:hint="eastAsia" w:ascii="Times New Roman" w:hAnsi="Times New Roman" w:eastAsia="仿宋_GB2312" w:cs="仿宋_GB2312"/>
          <w:color w:val="auto"/>
          <w:sz w:val="32"/>
          <w:szCs w:val="32"/>
          <w:lang w:eastAsia="zh-CN"/>
        </w:rPr>
        <w:t>给予处分；涉嫌犯罪的，依法移送司法机关追究刑事责任。</w:t>
      </w:r>
    </w:p>
    <w:p w14:paraId="1981BF5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（一）丢失登记档案的；</w:t>
      </w:r>
    </w:p>
    <w:p w14:paraId="17E3E80C">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（二）违规提供、抄录、复制登记档案的;</w:t>
      </w:r>
    </w:p>
    <w:p w14:paraId="170FF4B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（三）买卖或者非法转让登记档案的;</w:t>
      </w:r>
    </w:p>
    <w:p w14:paraId="1AEC5C1A">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（四）篡改、损毁、伪造或者擅自销毁登记档案的;</w:t>
      </w:r>
    </w:p>
    <w:p w14:paraId="4F4095FB">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（五）将登记档案出卖、赠送给外国人或者外国组织的；</w:t>
      </w:r>
    </w:p>
    <w:p w14:paraId="643B5798">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（六）不按规定归档或者不按期移交登记档案，被责令改正而拒不改正的;</w:t>
      </w:r>
    </w:p>
    <w:p w14:paraId="0E19007C">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（七）不按规定向社会提供利用登记档案的;</w:t>
      </w:r>
    </w:p>
    <w:p w14:paraId="52ACF667">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（八）明知登记档案存在安全隐患而不采取补救措施，造成登记档案损毁、灭失，或者存在安全隐患逾期未整改的;</w:t>
      </w:r>
    </w:p>
    <w:p w14:paraId="0C04979E">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（九）发生登记档案安全事故后，不采取抢救措施或者隐瞒不报、拒绝调查的;</w:t>
      </w:r>
    </w:p>
    <w:p w14:paraId="6CAE25FC">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（十）玩忽职守，造成登记档案损毁、遗失的；</w:t>
      </w:r>
    </w:p>
    <w:p w14:paraId="2539FEE3">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（十一）其他依法应当给予处分的行为。</w:t>
      </w:r>
    </w:p>
    <w:p w14:paraId="34415D78">
      <w:pPr>
        <w:keepNext w:val="0"/>
        <w:keepLines w:val="0"/>
        <w:pageBreakBefore w:val="0"/>
        <w:widowControl w:val="0"/>
        <w:kinsoku/>
        <w:wordWrap/>
        <w:overflowPunct/>
        <w:topLinePunct w:val="0"/>
        <w:autoSpaceDE/>
        <w:bidi w:val="0"/>
        <w:adjustRightInd/>
        <w:snapToGrid/>
        <w:spacing w:line="580" w:lineRule="exact"/>
        <w:ind w:firstLine="640" w:firstLineChars="200"/>
        <w:jc w:val="both"/>
        <w:textAlignment w:val="auto"/>
        <w:rPr>
          <w:rFonts w:hint="default" w:eastAsia="黑体"/>
          <w:color w:val="auto"/>
          <w:sz w:val="32"/>
          <w:szCs w:val="32"/>
          <w:lang w:val="en-US" w:eastAsia="zh-CN"/>
        </w:rPr>
      </w:pPr>
      <w:r>
        <w:rPr>
          <w:rFonts w:hint="eastAsia" w:ascii="Times New Roman" w:hAnsi="Times New Roman" w:eastAsia="仿宋_GB2312" w:cs="仿宋_GB2312"/>
          <w:color w:val="auto"/>
          <w:sz w:val="32"/>
          <w:szCs w:val="32"/>
          <w:lang w:val="en-US" w:eastAsia="zh-CN"/>
        </w:rPr>
        <w:t>相关组织和个人在查阅和利用登记档案时，故意</w:t>
      </w:r>
      <w:r>
        <w:rPr>
          <w:rFonts w:hint="eastAsia" w:ascii="Times New Roman" w:hAnsi="Times New Roman" w:eastAsia="仿宋_GB2312" w:cs="仿宋_GB2312"/>
          <w:color w:val="auto"/>
          <w:sz w:val="32"/>
          <w:szCs w:val="32"/>
        </w:rPr>
        <w:t>造成登记档案丢失、损毁，或</w:t>
      </w:r>
      <w:r>
        <w:rPr>
          <w:rFonts w:hint="eastAsia" w:ascii="Times New Roman" w:hAnsi="Times New Roman" w:eastAsia="仿宋_GB2312" w:cs="仿宋_GB2312"/>
          <w:color w:val="auto"/>
          <w:sz w:val="32"/>
          <w:szCs w:val="32"/>
          <w:lang w:val="en-US" w:eastAsia="zh-CN"/>
        </w:rPr>
        <w:t>者</w:t>
      </w:r>
      <w:r>
        <w:rPr>
          <w:rFonts w:hint="eastAsia" w:ascii="Times New Roman" w:hAnsi="Times New Roman" w:eastAsia="仿宋_GB2312" w:cs="仿宋_GB2312"/>
          <w:color w:val="auto"/>
          <w:sz w:val="32"/>
          <w:szCs w:val="32"/>
        </w:rPr>
        <w:t>有其他损害登记档案实体和信息安全</w:t>
      </w:r>
      <w:r>
        <w:rPr>
          <w:rFonts w:hint="eastAsia" w:ascii="Times New Roman" w:hAnsi="Times New Roman" w:eastAsia="仿宋_GB2312" w:cs="仿宋_GB2312"/>
          <w:color w:val="auto"/>
          <w:sz w:val="32"/>
          <w:szCs w:val="32"/>
          <w:lang w:eastAsia="zh-CN"/>
        </w:rPr>
        <w:t>的行</w:t>
      </w:r>
      <w:r>
        <w:rPr>
          <w:rFonts w:hint="eastAsia" w:ascii="Times New Roman" w:hAnsi="Times New Roman" w:eastAsia="仿宋_GB2312" w:cs="仿宋_GB2312"/>
          <w:color w:val="auto"/>
          <w:sz w:val="32"/>
          <w:szCs w:val="32"/>
        </w:rPr>
        <w:t>为</w:t>
      </w:r>
      <w:r>
        <w:rPr>
          <w:rFonts w:hint="eastAsia" w:ascii="Times New Roman" w:hAnsi="Times New Roman" w:eastAsia="仿宋_GB2312" w:cs="仿宋_GB2312"/>
          <w:color w:val="auto"/>
          <w:sz w:val="32"/>
          <w:szCs w:val="32"/>
          <w:lang w:eastAsia="zh-CN"/>
        </w:rPr>
        <w:t>，涉嫌犯罪的，依法移送司法机关追究刑事责任。</w:t>
      </w:r>
    </w:p>
    <w:p w14:paraId="0DF4B2F5">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第二十</w:t>
      </w:r>
      <w:r>
        <w:rPr>
          <w:rFonts w:hint="eastAsia" w:ascii="黑体" w:hAnsi="黑体" w:eastAsia="黑体" w:cs="Times New Roman"/>
          <w:color w:val="auto"/>
          <w:kern w:val="2"/>
          <w:sz w:val="32"/>
          <w:szCs w:val="32"/>
          <w:lang w:val="en-US" w:eastAsia="zh-CN" w:bidi="ar-SA"/>
        </w:rPr>
        <w:t>九</w:t>
      </w:r>
      <w:r>
        <w:rPr>
          <w:rFonts w:hint="eastAsia" w:ascii="黑体" w:hAnsi="黑体" w:eastAsia="黑体"/>
          <w:color w:val="auto"/>
          <w:sz w:val="32"/>
          <w:szCs w:val="32"/>
        </w:rPr>
        <w:t>条</w:t>
      </w:r>
      <w:r>
        <w:rPr>
          <w:rFonts w:hint="eastAsia" w:ascii="仿宋_GB2312" w:eastAsia="仿宋_GB2312"/>
          <w:color w:val="auto"/>
          <w:sz w:val="32"/>
          <w:szCs w:val="32"/>
        </w:rPr>
        <w:t xml:space="preserve"> 各省</w:t>
      </w:r>
      <w:r>
        <w:rPr>
          <w:rFonts w:hint="eastAsia" w:ascii="仿宋_GB2312" w:eastAsia="仿宋_GB2312"/>
          <w:color w:val="auto"/>
          <w:sz w:val="32"/>
          <w:szCs w:val="32"/>
          <w:lang w:eastAsia="zh-CN"/>
        </w:rPr>
        <w:t>、</w:t>
      </w:r>
      <w:r>
        <w:rPr>
          <w:rFonts w:hint="eastAsia" w:ascii="仿宋_GB2312" w:eastAsia="仿宋_GB2312"/>
          <w:color w:val="auto"/>
          <w:sz w:val="32"/>
          <w:szCs w:val="32"/>
        </w:rPr>
        <w:t>自治区、直辖市</w:t>
      </w:r>
      <w:r>
        <w:rPr>
          <w:rFonts w:hint="eastAsia" w:ascii="仿宋_GB2312" w:eastAsia="仿宋_GB2312"/>
          <w:color w:val="auto"/>
          <w:sz w:val="32"/>
          <w:szCs w:val="32"/>
          <w:lang w:eastAsia="zh-CN"/>
        </w:rPr>
        <w:t>和</w:t>
      </w:r>
      <w:r>
        <w:rPr>
          <w:rFonts w:hint="eastAsia" w:ascii="仿宋_GB2312" w:eastAsia="仿宋_GB2312"/>
          <w:color w:val="auto"/>
          <w:sz w:val="32"/>
          <w:szCs w:val="32"/>
        </w:rPr>
        <w:t>新疆生产建设兵团市场监督管理部门可以根据本办法，结合当地实际情况，制定本地区的具体实施细则。</w:t>
      </w:r>
    </w:p>
    <w:p w14:paraId="1A0ADE02">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eastAsia" w:ascii="仿宋_GB2312" w:eastAsia="仿宋_GB2312"/>
          <w:color w:val="auto"/>
          <w:sz w:val="32"/>
          <w:szCs w:val="32"/>
        </w:rPr>
      </w:pPr>
      <w:r>
        <w:rPr>
          <w:rFonts w:hint="eastAsia" w:ascii="黑体" w:hAnsi="黑体" w:eastAsia="黑体"/>
          <w:color w:val="auto"/>
          <w:sz w:val="32"/>
          <w:szCs w:val="32"/>
        </w:rPr>
        <w:t>第</w:t>
      </w:r>
      <w:r>
        <w:rPr>
          <w:rFonts w:hint="eastAsia" w:ascii="黑体" w:hAnsi="黑体" w:eastAsia="黑体"/>
          <w:color w:val="auto"/>
          <w:sz w:val="32"/>
          <w:szCs w:val="32"/>
          <w:lang w:eastAsia="zh-CN"/>
        </w:rPr>
        <w:t>三十</w:t>
      </w:r>
      <w:r>
        <w:rPr>
          <w:rFonts w:hint="eastAsia" w:ascii="黑体" w:hAnsi="黑体" w:eastAsia="黑体"/>
          <w:color w:val="auto"/>
          <w:sz w:val="32"/>
          <w:szCs w:val="32"/>
        </w:rPr>
        <w:t>条</w:t>
      </w:r>
      <w:r>
        <w:rPr>
          <w:rFonts w:hint="eastAsia" w:ascii="仿宋_GB2312" w:eastAsia="仿宋_GB2312"/>
          <w:color w:val="auto"/>
          <w:sz w:val="32"/>
          <w:szCs w:val="32"/>
        </w:rPr>
        <w:t xml:space="preserve"> 外国企业常驻代表机构的登记档案管理参照本办法执行。</w:t>
      </w:r>
    </w:p>
    <w:p w14:paraId="085A7F3A">
      <w:pPr>
        <w:keepNext w:val="0"/>
        <w:keepLines w:val="0"/>
        <w:pageBreakBefore w:val="0"/>
        <w:widowControl w:val="0"/>
        <w:kinsoku/>
        <w:wordWrap/>
        <w:overflowPunct/>
        <w:topLinePunct w:val="0"/>
        <w:autoSpaceDE/>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黑体" w:hAnsi="黑体" w:eastAsia="黑体"/>
          <w:color w:val="auto"/>
          <w:sz w:val="32"/>
          <w:szCs w:val="32"/>
        </w:rPr>
        <w:t>第</w:t>
      </w:r>
      <w:r>
        <w:rPr>
          <w:rFonts w:hint="eastAsia" w:ascii="黑体" w:hAnsi="黑体" w:eastAsia="黑体"/>
          <w:color w:val="auto"/>
          <w:sz w:val="32"/>
          <w:szCs w:val="32"/>
          <w:lang w:eastAsia="zh-CN"/>
        </w:rPr>
        <w:t>三十一</w:t>
      </w:r>
      <w:r>
        <w:rPr>
          <w:rFonts w:hint="eastAsia" w:ascii="黑体" w:hAnsi="黑体" w:eastAsia="黑体"/>
          <w:color w:val="auto"/>
          <w:sz w:val="32"/>
          <w:szCs w:val="32"/>
        </w:rPr>
        <w:t>条</w:t>
      </w:r>
      <w:r>
        <w:rPr>
          <w:rFonts w:hint="eastAsia" w:ascii="仿宋_GB2312" w:eastAsia="仿宋_GB2312"/>
          <w:color w:val="auto"/>
          <w:sz w:val="32"/>
          <w:szCs w:val="32"/>
        </w:rPr>
        <w:t xml:space="preserve"> 本</w:t>
      </w:r>
      <w:r>
        <w:rPr>
          <w:rFonts w:hint="default" w:ascii="Times New Roman" w:hAnsi="Times New Roman" w:eastAsia="仿宋_GB2312" w:cs="Times New Roman"/>
          <w:color w:val="auto"/>
          <w:sz w:val="32"/>
          <w:szCs w:val="32"/>
        </w:rPr>
        <w:t>办法自</w:t>
      </w:r>
      <w:r>
        <w:rPr>
          <w:rFonts w:hint="default" w:ascii="Times New Roman" w:hAnsi="Times New Roman" w:eastAsia="仿宋_GB2312" w:cs="Times New Roman"/>
          <w:color w:val="auto"/>
          <w:sz w:val="32"/>
          <w:szCs w:val="32"/>
          <w:lang w:val="en-US" w:eastAsia="zh-CN"/>
        </w:rPr>
        <w:t>2025</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20</w:t>
      </w:r>
      <w:r>
        <w:rPr>
          <w:rFonts w:hint="default" w:ascii="Times New Roman" w:hAnsi="Times New Roman" w:eastAsia="仿宋_GB2312" w:cs="Times New Roman"/>
          <w:color w:val="auto"/>
          <w:sz w:val="32"/>
          <w:szCs w:val="32"/>
        </w:rPr>
        <w:t>日起</w:t>
      </w:r>
      <w:r>
        <w:rPr>
          <w:rFonts w:hint="default" w:ascii="Times New Roman" w:hAnsi="Times New Roman" w:eastAsia="仿宋_GB2312" w:cs="Times New Roman"/>
          <w:color w:val="auto"/>
          <w:sz w:val="32"/>
          <w:szCs w:val="32"/>
          <w:lang w:eastAsia="zh-CN"/>
        </w:rPr>
        <w:t>施行</w:t>
      </w:r>
      <w:r>
        <w:rPr>
          <w:rFonts w:hint="default" w:ascii="Times New Roman" w:hAnsi="Times New Roman" w:eastAsia="仿宋_GB2312" w:cs="Times New Roman"/>
          <w:color w:val="auto"/>
          <w:sz w:val="32"/>
          <w:szCs w:val="32"/>
        </w:rPr>
        <w:t>。</w:t>
      </w:r>
    </w:p>
    <w:p w14:paraId="00AE0473"/>
    <w:p w14:paraId="295BB70D">
      <w:pPr>
        <w:pStyle w:val="2"/>
        <w:keepNext w:val="0"/>
        <w:keepLines w:val="0"/>
        <w:pageBreakBefore w:val="0"/>
        <w:kinsoku/>
        <w:wordWrap/>
        <w:overflowPunct/>
        <w:topLinePunct w:val="0"/>
        <w:autoSpaceDE/>
        <w:autoSpaceDN/>
        <w:bidi w:val="0"/>
        <w:adjustRightInd/>
        <w:snapToGrid/>
        <w:spacing w:after="0" w:line="560" w:lineRule="exact"/>
        <w:ind w:left="0" w:leftChars="0" w:firstLine="0" w:firstLineChars="0"/>
        <w:textAlignment w:val="auto"/>
      </w:pPr>
    </w:p>
    <w:p w14:paraId="304B0AFC">
      <w:pPr>
        <w:keepNext w:val="0"/>
        <w:keepLines w:val="0"/>
        <w:pageBreakBefore w:val="0"/>
        <w:kinsoku/>
        <w:wordWrap/>
        <w:overflowPunct/>
        <w:topLinePunct w:val="0"/>
        <w:autoSpaceDE/>
        <w:autoSpaceDN/>
        <w:bidi w:val="0"/>
        <w:adjustRightInd/>
        <w:snapToGrid/>
        <w:spacing w:line="560" w:lineRule="exact"/>
        <w:textAlignment w:val="auto"/>
      </w:pPr>
    </w:p>
    <w:sectPr>
      <w:headerReference r:id="rId4" w:type="first"/>
      <w:footerReference r:id="rId7" w:type="first"/>
      <w:footerReference r:id="rId5" w:type="default"/>
      <w:headerReference r:id="rId3" w:type="even"/>
      <w:footerReference r:id="rId6" w:type="even"/>
      <w:pgSz w:w="11906" w:h="16838"/>
      <w:pgMar w:top="1962" w:right="1474" w:bottom="1848" w:left="158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New Roman Bold">
    <w:altName w:val="Times New Roman"/>
    <w:panose1 w:val="02020603050000020304"/>
    <w:charset w:val="00"/>
    <w:family w:val="auto"/>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 w:name="方正仿宋简体">
    <w:altName w:val="微软雅黑"/>
    <w:panose1 w:val="02000000000000000000"/>
    <w:charset w:val="86"/>
    <w:family w:val="script"/>
    <w:pitch w:val="default"/>
    <w:sig w:usb0="00000000" w:usb1="00000000"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CA57E">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0CCFFD2">
                          <w:pPr>
                            <w:pStyle w:val="9"/>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40CCFFD2">
                    <w:pPr>
                      <w:pStyle w:val="9"/>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C0F6E">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5148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61B38">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CCED9">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90A43"/>
    <w:rsid w:val="000F7C3B"/>
    <w:rsid w:val="0011222A"/>
    <w:rsid w:val="00172A27"/>
    <w:rsid w:val="00190F0F"/>
    <w:rsid w:val="00307BBE"/>
    <w:rsid w:val="00423582"/>
    <w:rsid w:val="00637CAC"/>
    <w:rsid w:val="0067282D"/>
    <w:rsid w:val="006A7A45"/>
    <w:rsid w:val="00750507"/>
    <w:rsid w:val="00891FFC"/>
    <w:rsid w:val="00915729"/>
    <w:rsid w:val="00960532"/>
    <w:rsid w:val="009641A3"/>
    <w:rsid w:val="009D125D"/>
    <w:rsid w:val="00AC5533"/>
    <w:rsid w:val="00B900B7"/>
    <w:rsid w:val="00BA7A05"/>
    <w:rsid w:val="00C115DD"/>
    <w:rsid w:val="00C26E20"/>
    <w:rsid w:val="00D7266E"/>
    <w:rsid w:val="00ED70F8"/>
    <w:rsid w:val="00F1250C"/>
    <w:rsid w:val="00FB339E"/>
    <w:rsid w:val="00FF50DD"/>
    <w:rsid w:val="019E71BD"/>
    <w:rsid w:val="04B679C3"/>
    <w:rsid w:val="080F63D8"/>
    <w:rsid w:val="09341458"/>
    <w:rsid w:val="0A71474D"/>
    <w:rsid w:val="0B0912D7"/>
    <w:rsid w:val="0FF013C4"/>
    <w:rsid w:val="14A81AA3"/>
    <w:rsid w:val="152D2DCA"/>
    <w:rsid w:val="170818DE"/>
    <w:rsid w:val="1A1C7F44"/>
    <w:rsid w:val="1DEC284C"/>
    <w:rsid w:val="1E6523AC"/>
    <w:rsid w:val="1F361A96"/>
    <w:rsid w:val="22440422"/>
    <w:rsid w:val="25117842"/>
    <w:rsid w:val="2F8F4327"/>
    <w:rsid w:val="31A15F24"/>
    <w:rsid w:val="395347B5"/>
    <w:rsid w:val="39A232A0"/>
    <w:rsid w:val="39E745AA"/>
    <w:rsid w:val="3B5A6BBB"/>
    <w:rsid w:val="3BF4C391"/>
    <w:rsid w:val="3DFFF0CE"/>
    <w:rsid w:val="3E231B4B"/>
    <w:rsid w:val="3EDA13A6"/>
    <w:rsid w:val="4290203A"/>
    <w:rsid w:val="42F058B7"/>
    <w:rsid w:val="436109F6"/>
    <w:rsid w:val="441A38D4"/>
    <w:rsid w:val="46935324"/>
    <w:rsid w:val="479B7D6A"/>
    <w:rsid w:val="49D91622"/>
    <w:rsid w:val="4BC77339"/>
    <w:rsid w:val="4C9236C5"/>
    <w:rsid w:val="4EDD0D5A"/>
    <w:rsid w:val="505C172E"/>
    <w:rsid w:val="512207F0"/>
    <w:rsid w:val="52F46F0B"/>
    <w:rsid w:val="53D8014D"/>
    <w:rsid w:val="55E064E0"/>
    <w:rsid w:val="572C6D10"/>
    <w:rsid w:val="5DC34279"/>
    <w:rsid w:val="608816D1"/>
    <w:rsid w:val="60EF4E7F"/>
    <w:rsid w:val="665233C1"/>
    <w:rsid w:val="68952BE5"/>
    <w:rsid w:val="6AD9688B"/>
    <w:rsid w:val="6D0E3F22"/>
    <w:rsid w:val="6E8E6F03"/>
    <w:rsid w:val="6F2FCE07"/>
    <w:rsid w:val="77FF530F"/>
    <w:rsid w:val="7AF9B73A"/>
    <w:rsid w:val="7C9011D9"/>
    <w:rsid w:val="7DC651C5"/>
    <w:rsid w:val="7FCC2834"/>
    <w:rsid w:val="7FD2039B"/>
    <w:rsid w:val="FCFEA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Autospacing="0" w:after="330" w:afterAutospacing="0" w:line="480" w:lineRule="auto"/>
      <w:ind w:firstLine="0" w:firstLineChars="0"/>
      <w:outlineLvl w:val="0"/>
    </w:pPr>
    <w:rPr>
      <w:rFonts w:ascii="Times New Roman Bold" w:hAnsi="Times New Roman Bold" w:eastAsia="华文仿宋"/>
      <w:b/>
      <w:kern w:val="44"/>
      <w:sz w:val="3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eastAsia="方正仿宋简体"/>
      <w:sz w:val="32"/>
      <w:szCs w:val="32"/>
    </w:rPr>
  </w:style>
  <w:style w:type="paragraph" w:styleId="3">
    <w:name w:val="Body Text Indent"/>
    <w:basedOn w:val="1"/>
    <w:next w:val="2"/>
    <w:qFormat/>
    <w:uiPriority w:val="0"/>
    <w:pPr>
      <w:spacing w:after="120"/>
      <w:ind w:left="420" w:leftChars="200"/>
    </w:pPr>
    <w:rPr>
      <w:kern w:val="0"/>
      <w:sz w:val="20"/>
    </w:rPr>
  </w:style>
  <w:style w:type="paragraph" w:styleId="5">
    <w:name w:val="annotation text"/>
    <w:basedOn w:val="1"/>
    <w:qFormat/>
    <w:uiPriority w:val="0"/>
    <w:pPr>
      <w:jc w:val="left"/>
    </w:pPr>
  </w:style>
  <w:style w:type="paragraph" w:styleId="6">
    <w:name w:val="Body Text"/>
    <w:basedOn w:val="1"/>
    <w:next w:val="1"/>
    <w:qFormat/>
    <w:uiPriority w:val="0"/>
    <w:pPr>
      <w:ind w:firstLine="880" w:firstLineChars="200"/>
    </w:pPr>
    <w:rPr>
      <w:rFonts w:ascii="楷体_GB2312" w:hAnsi="楷体_GB2312" w:eastAsia="楷体_GB2312"/>
      <w:sz w:val="32"/>
      <w:szCs w:val="20"/>
    </w:rPr>
  </w:style>
  <w:style w:type="paragraph" w:styleId="7">
    <w:name w:val="Plain Text"/>
    <w:basedOn w:val="1"/>
    <w:unhideWhenUsed/>
    <w:qFormat/>
    <w:uiPriority w:val="0"/>
    <w:rPr>
      <w:rFonts w:ascii="宋体" w:hAnsi="Courier New" w:eastAsia="宋体"/>
      <w:szCs w:val="20"/>
    </w:rPr>
  </w:style>
  <w:style w:type="paragraph" w:styleId="8">
    <w:name w:val="Balloon Text"/>
    <w:basedOn w:val="1"/>
    <w:link w:val="20"/>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2">
    <w:name w:val="Title"/>
    <w:basedOn w:val="7"/>
    <w:next w:val="1"/>
    <w:qFormat/>
    <w:uiPriority w:val="0"/>
    <w:pPr>
      <w:keepLines/>
      <w:adjustRightInd w:val="0"/>
      <w:snapToGrid w:val="0"/>
      <w:spacing w:line="660" w:lineRule="exact"/>
      <w:jc w:val="center"/>
      <w:outlineLvl w:val="0"/>
    </w:pPr>
    <w:rPr>
      <w:rFonts w:ascii="Times New Roman" w:hAnsi="Times New Roman" w:eastAsia="方正小标宋简体"/>
      <w:bCs/>
      <w:sz w:val="44"/>
      <w:szCs w:val="32"/>
    </w:rPr>
  </w:style>
  <w:style w:type="character" w:styleId="15">
    <w:name w:val="Strong"/>
    <w:basedOn w:val="14"/>
    <w:qFormat/>
    <w:uiPriority w:val="22"/>
    <w:rPr>
      <w:b/>
      <w:bCs/>
    </w:rPr>
  </w:style>
  <w:style w:type="character" w:styleId="16">
    <w:name w:val="FollowedHyperlink"/>
    <w:basedOn w:val="14"/>
    <w:qFormat/>
    <w:uiPriority w:val="0"/>
    <w:rPr>
      <w:color w:val="2B84B5"/>
    </w:rPr>
  </w:style>
  <w:style w:type="character" w:styleId="17">
    <w:name w:val="Hyperlink"/>
    <w:basedOn w:val="14"/>
    <w:qFormat/>
    <w:uiPriority w:val="0"/>
    <w:rPr>
      <w:rFonts w:hint="eastAsia" w:ascii="微软雅黑" w:hAnsi="微软雅黑" w:eastAsia="微软雅黑" w:cs="微软雅黑"/>
      <w:color w:val="0000FF"/>
      <w:u w:val="none"/>
    </w:rPr>
  </w:style>
  <w:style w:type="paragraph" w:customStyle="1" w:styleId="18">
    <w:name w:val="样式1"/>
    <w:basedOn w:val="1"/>
    <w:next w:val="6"/>
    <w:qFormat/>
    <w:uiPriority w:val="0"/>
    <w:pPr>
      <w:ind w:firstLine="602" w:firstLineChars="200"/>
    </w:pPr>
    <w:rPr>
      <w:rFonts w:ascii="仿宋" w:hAnsi="仿宋" w:eastAsia="仿宋"/>
      <w:sz w:val="30"/>
      <w:szCs w:val="30"/>
    </w:rPr>
  </w:style>
  <w:style w:type="paragraph" w:customStyle="1" w:styleId="19">
    <w:name w:val="Body Text First Indent1"/>
    <w:basedOn w:val="6"/>
    <w:qFormat/>
    <w:uiPriority w:val="99"/>
    <w:pPr>
      <w:widowControl w:val="0"/>
      <w:spacing w:after="120"/>
      <w:ind w:firstLine="420" w:firstLineChars="100"/>
      <w:jc w:val="both"/>
    </w:pPr>
    <w:rPr>
      <w:rFonts w:ascii="Calibri" w:hAnsi="Calibri" w:eastAsia="宋体" w:cs="Calibri"/>
      <w:kern w:val="2"/>
      <w:sz w:val="21"/>
      <w:szCs w:val="21"/>
      <w:lang w:val="en-US" w:eastAsia="zh-CN" w:bidi="ar-SA"/>
    </w:rPr>
  </w:style>
  <w:style w:type="character" w:customStyle="1" w:styleId="20">
    <w:name w:val="批注框文本 Char"/>
    <w:basedOn w:val="14"/>
    <w:link w:val="8"/>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noline"/>
    <w:basedOn w:val="14"/>
    <w:qFormat/>
    <w:uiPriority w:val="0"/>
  </w:style>
  <w:style w:type="character" w:customStyle="1" w:styleId="23">
    <w:name w:val="hover54"/>
    <w:basedOn w:val="14"/>
    <w:qFormat/>
    <w:uiPriority w:val="0"/>
    <w:rPr>
      <w:color w:val="025291"/>
    </w:rPr>
  </w:style>
  <w:style w:type="character" w:customStyle="1" w:styleId="24">
    <w:name w:val="hover55"/>
    <w:basedOn w:val="14"/>
    <w:qFormat/>
    <w:uiPriority w:val="0"/>
    <w:rPr>
      <w:color w:val="2B84B5"/>
    </w:rPr>
  </w:style>
  <w:style w:type="character" w:customStyle="1" w:styleId="25">
    <w:name w:val="hover56"/>
    <w:basedOn w:val="14"/>
    <w:qFormat/>
    <w:uiPriority w:val="0"/>
    <w:rPr>
      <w:color w:val="D52222"/>
    </w:rPr>
  </w:style>
  <w:style w:type="character" w:customStyle="1" w:styleId="26">
    <w:name w:val="place"/>
    <w:basedOn w:val="14"/>
    <w:qFormat/>
    <w:uiPriority w:val="0"/>
  </w:style>
  <w:style w:type="character" w:customStyle="1" w:styleId="27">
    <w:name w:val="place1"/>
    <w:basedOn w:val="14"/>
    <w:qFormat/>
    <w:uiPriority w:val="0"/>
    <w:rPr>
      <w:rFonts w:ascii="微软雅黑" w:hAnsi="微软雅黑" w:eastAsia="微软雅黑" w:cs="微软雅黑"/>
      <w:color w:val="888888"/>
      <w:sz w:val="25"/>
      <w:szCs w:val="25"/>
    </w:rPr>
  </w:style>
  <w:style w:type="character" w:customStyle="1" w:styleId="28">
    <w:name w:val="place2"/>
    <w:basedOn w:val="14"/>
    <w:qFormat/>
    <w:uiPriority w:val="0"/>
  </w:style>
  <w:style w:type="character" w:customStyle="1" w:styleId="29">
    <w:name w:val="place3"/>
    <w:basedOn w:val="14"/>
    <w:qFormat/>
    <w:uiPriority w:val="0"/>
  </w:style>
  <w:style w:type="character" w:customStyle="1" w:styleId="30">
    <w:name w:val="file"/>
    <w:basedOn w:val="14"/>
    <w:qFormat/>
    <w:uiPriority w:val="0"/>
    <w:rPr>
      <w:color w:val="4D4D4D"/>
      <w:sz w:val="21"/>
      <w:szCs w:val="21"/>
    </w:rPr>
  </w:style>
  <w:style w:type="character" w:customStyle="1" w:styleId="31">
    <w:name w:val="folder"/>
    <w:basedOn w:val="14"/>
    <w:qFormat/>
    <w:uiPriority w:val="0"/>
  </w:style>
  <w:style w:type="character" w:customStyle="1" w:styleId="32">
    <w:name w:val="folder1"/>
    <w:basedOn w:val="14"/>
    <w:qFormat/>
    <w:uiPriority w:val="0"/>
    <w:rPr>
      <w:color w:val="4D4D4D"/>
      <w:sz w:val="21"/>
      <w:szCs w:val="21"/>
    </w:rPr>
  </w:style>
  <w:style w:type="character" w:customStyle="1" w:styleId="33">
    <w:name w:val="Hyperlink.0"/>
    <w:basedOn w:val="34"/>
    <w:qFormat/>
    <w:uiPriority w:val="0"/>
    <w:rPr>
      <w:rFonts w:ascii="仿宋_GB2312" w:hAnsi="仿宋_GB2312" w:eastAsia="仿宋_GB2312" w:cs="仿宋_GB2312"/>
      <w:color w:val="0000FF"/>
      <w:kern w:val="0"/>
      <w:sz w:val="32"/>
      <w:szCs w:val="32"/>
      <w:u w:val="single" w:color="0000FF"/>
      <w:lang w:val="zh-TW" w:eastAsia="zh-TW"/>
    </w:rPr>
  </w:style>
  <w:style w:type="character" w:customStyle="1" w:styleId="34">
    <w:name w:val="链接"/>
    <w:qFormat/>
    <w:uiPriority w:val="0"/>
    <w:rPr>
      <w:color w:val="0000FF"/>
      <w:u w:val="single" w:color="0000FF"/>
    </w:rPr>
  </w:style>
  <w:style w:type="character" w:customStyle="1" w:styleId="35">
    <w:name w:val="Hyperlink.1"/>
    <w:basedOn w:val="34"/>
    <w:qFormat/>
    <w:uiPriority w:val="0"/>
    <w:rPr>
      <w:rFonts w:ascii="仿宋_GB2312" w:hAnsi="仿宋_GB2312" w:eastAsia="仿宋_GB2312" w:cs="仿宋_GB2312"/>
      <w:color w:val="0000FF"/>
      <w:sz w:val="32"/>
      <w:szCs w:val="32"/>
      <w:u w:val="single" w:color="0000FF"/>
      <w:lang w:val="zh-TW" w:eastAsia="zh-TW"/>
    </w:rPr>
  </w:style>
  <w:style w:type="paragraph" w:customStyle="1" w:styleId="36">
    <w:name w:val="Heading3"/>
    <w:next w:val="1"/>
    <w:qFormat/>
    <w:uiPriority w:val="0"/>
    <w:pPr>
      <w:widowControl w:val="0"/>
      <w:spacing w:beforeAutospacing="1" w:afterAutospacing="1"/>
      <w:jc w:val="both"/>
      <w:textAlignment w:val="baseline"/>
    </w:pPr>
    <w:rPr>
      <w:rFonts w:ascii="宋体" w:hAnsi="宋体" w:eastAsia="宋体" w:cs="Times New Roman"/>
      <w:kern w:val="2"/>
      <w:sz w:val="18"/>
      <w:szCs w:val="18"/>
      <w:lang w:val="en-US" w:eastAsia="zh-CN" w:bidi="ar-SA"/>
    </w:rPr>
  </w:style>
  <w:style w:type="character" w:customStyle="1" w:styleId="37">
    <w:name w:val="font71"/>
    <w:qFormat/>
    <w:uiPriority w:val="0"/>
    <w:rPr>
      <w:rFonts w:hint="eastAsia" w:ascii="方正仿宋简体" w:hAnsi="方正仿宋简体" w:eastAsia="方正仿宋简体" w:cs="方正仿宋简体"/>
      <w:color w:val="auto"/>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11</Pages>
  <Words>4817</Words>
  <Characters>4831</Characters>
  <Lines>26</Lines>
  <Paragraphs>7</Paragraphs>
  <TotalTime>0</TotalTime>
  <ScaleCrop>false</ScaleCrop>
  <LinksUpToDate>false</LinksUpToDate>
  <CharactersWithSpaces>4866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E.N.K.Y </cp:lastModifiedBy>
  <cp:lastPrinted>2021-10-28T11:30:00Z</cp:lastPrinted>
  <dcterms:modified xsi:type="dcterms:W3CDTF">2025-09-25T06:39:12Z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48C61CB29D3F4D9384F5922CF0F7FFB4</vt:lpwstr>
  </property>
  <property fmtid="{D5CDD505-2E9C-101B-9397-08002B2CF9AE}" pid="4" name="KSOTemplateDocerSaveRecord">
    <vt:lpwstr>eyJoZGlkIjoiZmJmNGNmNjBiOGY2ZmY1ZWM2ZWUxMzMzNzU2N2M2MDMiLCJ1c2VySWQiOiIzMzIyMDU0MTEifQ==</vt:lpwstr>
  </property>
</Properties>
</file>